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CBAA6">
      <w:pPr>
        <w:rPr>
          <w:rFonts w:ascii="仿宋_GB2312" w:hAnsi="仿宋_GB2312" w:eastAsia="仿宋_GB2312" w:cs="仿宋_GB2312"/>
          <w:color w:val="auto"/>
          <w:sz w:val="36"/>
          <w:szCs w:val="36"/>
        </w:rPr>
      </w:pPr>
    </w:p>
    <w:p w14:paraId="53E6EBE8">
      <w:pPr>
        <w:rPr>
          <w:rFonts w:ascii="仿宋_GB2312" w:hAnsi="仿宋_GB2312" w:eastAsia="仿宋_GB2312" w:cs="仿宋_GB2312"/>
          <w:color w:val="auto"/>
          <w:sz w:val="36"/>
          <w:szCs w:val="36"/>
        </w:rPr>
      </w:pPr>
    </w:p>
    <w:p w14:paraId="418A9D13">
      <w:pPr>
        <w:rPr>
          <w:rFonts w:ascii="仿宋_GB2312" w:hAnsi="仿宋_GB2312" w:eastAsia="仿宋_GB2312" w:cs="仿宋_GB2312"/>
          <w:color w:val="auto"/>
          <w:sz w:val="36"/>
          <w:szCs w:val="36"/>
        </w:rPr>
      </w:pPr>
    </w:p>
    <w:p w14:paraId="582B87B5">
      <w:pPr>
        <w:rPr>
          <w:rFonts w:ascii="仿宋_GB2312" w:hAnsi="仿宋_GB2312" w:eastAsia="仿宋_GB2312" w:cs="仿宋_GB2312"/>
          <w:color w:val="auto"/>
          <w:sz w:val="36"/>
          <w:szCs w:val="36"/>
        </w:rPr>
      </w:pPr>
    </w:p>
    <w:p w14:paraId="55363B80">
      <w:pPr>
        <w:adjustRightInd w:val="0"/>
        <w:snapToGrid w:val="0"/>
        <w:jc w:val="center"/>
        <w:outlineLvl w:val="0"/>
        <w:rPr>
          <w:rFonts w:hint="eastAsia"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14:paraId="4B5043BC">
      <w:pPr>
        <w:keepNext w:val="0"/>
        <w:keepLines w:val="0"/>
        <w:pageBreakBefore w:val="0"/>
        <w:widowControl w:val="0"/>
        <w:kinsoku/>
        <w:wordWrap/>
        <w:overflowPunct/>
        <w:topLinePunct w:val="0"/>
        <w:autoSpaceDE/>
        <w:autoSpaceDN/>
        <w:bidi w:val="0"/>
        <w:adjustRightInd w:val="0"/>
        <w:snapToGrid w:val="0"/>
        <w:spacing w:before="192" w:beforeLines="80"/>
        <w:jc w:val="center"/>
        <w:textAlignment w:val="auto"/>
        <w:outlineLvl w:val="9"/>
        <w:rPr>
          <w:rFonts w:hint="eastAsia" w:ascii="楷体" w:hAnsi="楷体" w:eastAsia="楷体"/>
          <w:bCs/>
          <w:color w:val="auto"/>
          <w:sz w:val="48"/>
          <w:szCs w:val="48"/>
        </w:rPr>
      </w:pPr>
      <w:r>
        <w:rPr>
          <w:rFonts w:hint="eastAsia" w:ascii="楷体" w:hAnsi="楷体" w:eastAsia="楷体"/>
          <w:bCs/>
          <w:color w:val="auto"/>
          <w:sz w:val="48"/>
          <w:szCs w:val="48"/>
        </w:rPr>
        <w:t>（污染影响类）</w:t>
      </w:r>
    </w:p>
    <w:p w14:paraId="2EE4892F">
      <w:pPr>
        <w:adjustRightInd w:val="0"/>
        <w:snapToGrid w:val="0"/>
        <w:spacing w:line="288" w:lineRule="auto"/>
        <w:outlineLvl w:val="9"/>
        <w:rPr>
          <w:rFonts w:ascii="华文仿宋" w:hAnsi="华文仿宋" w:eastAsia="华文仿宋" w:cs="华文仿宋"/>
          <w:color w:val="auto"/>
          <w:kern w:val="44"/>
          <w:sz w:val="44"/>
          <w:szCs w:val="44"/>
        </w:rPr>
      </w:pPr>
    </w:p>
    <w:p w14:paraId="319953AC">
      <w:pPr>
        <w:rPr>
          <w:rFonts w:eastAsia="仿宋"/>
          <w:color w:val="auto"/>
          <w:sz w:val="52"/>
          <w:szCs w:val="52"/>
        </w:rPr>
      </w:pPr>
    </w:p>
    <w:p w14:paraId="3A770AF4">
      <w:pPr>
        <w:rPr>
          <w:rFonts w:eastAsia="仿宋"/>
          <w:color w:val="auto"/>
          <w:sz w:val="44"/>
          <w:szCs w:val="44"/>
        </w:rPr>
      </w:pPr>
    </w:p>
    <w:p w14:paraId="1A03CA87">
      <w:pPr>
        <w:spacing w:line="360" w:lineRule="auto"/>
        <w:rPr>
          <w:rFonts w:eastAsia="仿宋"/>
          <w:color w:val="auto"/>
          <w:sz w:val="44"/>
          <w:szCs w:val="44"/>
        </w:rPr>
      </w:pPr>
    </w:p>
    <w:p w14:paraId="44E9B4A9">
      <w:pPr>
        <w:keepNext w:val="0"/>
        <w:keepLines w:val="0"/>
        <w:pageBreakBefore w:val="0"/>
        <w:widowControl w:val="0"/>
        <w:kinsoku/>
        <w:wordWrap/>
        <w:overflowPunct/>
        <w:topLinePunct w:val="0"/>
        <w:autoSpaceDE/>
        <w:autoSpaceDN/>
        <w:bidi w:val="0"/>
        <w:adjustRightInd w:val="0"/>
        <w:snapToGrid w:val="0"/>
        <w:spacing w:line="360" w:lineRule="auto"/>
        <w:ind w:left="1800" w:hanging="1800" w:hangingChars="500"/>
        <w:jc w:val="left"/>
        <w:textAlignment w:val="auto"/>
        <w:outlineLvl w:val="9"/>
        <w:rPr>
          <w:rFonts w:hint="default" w:ascii="仿宋" w:hAnsi="仿宋" w:eastAsia="仿宋"/>
          <w:color w:val="auto"/>
          <w:sz w:val="36"/>
          <w:szCs w:val="36"/>
          <w:u w:val="single"/>
          <w:lang w:val="en-US" w:eastAsia="zh-CN"/>
        </w:rPr>
      </w:pPr>
      <w:r>
        <w:rPr>
          <w:rFonts w:hint="eastAsia" w:ascii="仿宋" w:hAnsi="仿宋" w:eastAsia="仿宋"/>
          <w:color w:val="auto"/>
          <w:sz w:val="36"/>
          <w:szCs w:val="36"/>
        </w:rPr>
        <w:t>项目名称：</w:t>
      </w:r>
      <w:r>
        <w:rPr>
          <w:rFonts w:hint="eastAsia" w:ascii="仿宋" w:hAnsi="仿宋" w:eastAsia="仿宋"/>
          <w:color w:val="auto"/>
          <w:sz w:val="36"/>
          <w:szCs w:val="36"/>
          <w:u w:val="single"/>
          <w:lang w:val="en-US" w:eastAsia="zh-CN"/>
        </w:rPr>
        <w:t xml:space="preserve">     年加工30万平方米钢化中空玻璃项目                      </w:t>
      </w:r>
    </w:p>
    <w:p w14:paraId="736CB68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仿宋" w:hAnsi="仿宋" w:eastAsia="仿宋"/>
          <w:color w:val="auto"/>
          <w:sz w:val="36"/>
          <w:szCs w:val="36"/>
          <w:u w:val="single"/>
        </w:rPr>
      </w:pPr>
      <w:r>
        <w:rPr>
          <w:rFonts w:hint="eastAsia" w:ascii="仿宋" w:hAnsi="仿宋" w:eastAsia="仿宋"/>
          <w:color w:val="auto"/>
          <w:sz w:val="36"/>
          <w:szCs w:val="36"/>
        </w:rPr>
        <w:t>建设单位（盖章）</w:t>
      </w:r>
      <w:r>
        <w:rPr>
          <w:rFonts w:hint="eastAsia" w:ascii="仿宋" w:hAnsi="仿宋" w:eastAsia="仿宋"/>
          <w:color w:val="auto"/>
          <w:sz w:val="36"/>
          <w:szCs w:val="36"/>
          <w:u w:val="single"/>
        </w:rPr>
        <w:t>：</w:t>
      </w:r>
      <w:r>
        <w:rPr>
          <w:rFonts w:hint="eastAsia" w:ascii="仿宋" w:hAnsi="仿宋" w:eastAsia="仿宋"/>
          <w:color w:val="auto"/>
          <w:sz w:val="36"/>
          <w:szCs w:val="36"/>
          <w:u w:val="single"/>
          <w:lang w:val="en-US" w:eastAsia="zh-CN"/>
        </w:rPr>
        <w:t xml:space="preserve">     </w:t>
      </w:r>
      <w:r>
        <w:rPr>
          <w:rFonts w:hint="eastAsia" w:ascii="仿宋" w:hAnsi="仿宋" w:eastAsia="仿宋"/>
          <w:color w:val="auto"/>
          <w:sz w:val="36"/>
          <w:szCs w:val="36"/>
          <w:u w:val="single"/>
          <w:lang w:eastAsia="zh-CN"/>
        </w:rPr>
        <w:t>辽宁琅润钢化玻璃有限公司</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 xml:space="preserve">      </w:t>
      </w:r>
    </w:p>
    <w:p w14:paraId="00BF39C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olor w:val="auto"/>
          <w:sz w:val="36"/>
          <w:szCs w:val="36"/>
          <w:u w:val="single"/>
        </w:rPr>
      </w:pPr>
      <w:r>
        <w:rPr>
          <w:rFonts w:hint="eastAsia" w:ascii="仿宋" w:hAnsi="仿宋" w:eastAsia="仿宋"/>
          <w:color w:val="auto"/>
          <w:sz w:val="36"/>
          <w:szCs w:val="36"/>
        </w:rPr>
        <w:t>编制日期：</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 xml:space="preserve">   </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 xml:space="preserve">  </w:t>
      </w:r>
      <w:r>
        <w:rPr>
          <w:rFonts w:hint="eastAsia" w:ascii="仿宋" w:hAnsi="仿宋" w:eastAsia="仿宋"/>
          <w:color w:val="auto"/>
          <w:sz w:val="36"/>
          <w:szCs w:val="36"/>
          <w:u w:val="single"/>
        </w:rPr>
        <w:t>202</w:t>
      </w:r>
      <w:r>
        <w:rPr>
          <w:rFonts w:hint="eastAsia" w:ascii="仿宋" w:hAnsi="仿宋" w:eastAsia="仿宋"/>
          <w:color w:val="auto"/>
          <w:sz w:val="36"/>
          <w:szCs w:val="36"/>
          <w:u w:val="single"/>
          <w:lang w:val="en-US" w:eastAsia="zh-CN"/>
        </w:rPr>
        <w:t>4</w:t>
      </w:r>
      <w:r>
        <w:rPr>
          <w:rFonts w:hint="eastAsia" w:ascii="仿宋" w:hAnsi="仿宋" w:eastAsia="仿宋"/>
          <w:color w:val="auto"/>
          <w:sz w:val="36"/>
          <w:szCs w:val="36"/>
          <w:u w:val="single"/>
        </w:rPr>
        <w:t>年</w:t>
      </w:r>
      <w:r>
        <w:rPr>
          <w:rFonts w:hint="eastAsia" w:ascii="仿宋" w:hAnsi="仿宋" w:eastAsia="仿宋"/>
          <w:color w:val="auto"/>
          <w:sz w:val="36"/>
          <w:szCs w:val="36"/>
          <w:u w:val="single"/>
          <w:lang w:val="en-US" w:eastAsia="zh-CN"/>
        </w:rPr>
        <w:t>12</w:t>
      </w:r>
      <w:r>
        <w:rPr>
          <w:rFonts w:hint="eastAsia" w:ascii="仿宋" w:hAnsi="仿宋" w:eastAsia="仿宋"/>
          <w:color w:val="auto"/>
          <w:sz w:val="36"/>
          <w:szCs w:val="36"/>
          <w:u w:val="single"/>
        </w:rPr>
        <w:t xml:space="preserve">月         </w:t>
      </w:r>
      <w:r>
        <w:rPr>
          <w:rFonts w:hint="eastAsia" w:ascii="仿宋" w:hAnsi="仿宋" w:eastAsia="仿宋"/>
          <w:color w:val="auto"/>
          <w:sz w:val="36"/>
          <w:szCs w:val="36"/>
          <w:u w:val="single"/>
          <w:lang w:val="en-US" w:eastAsia="zh-CN"/>
        </w:rPr>
        <w:t xml:space="preserve">     </w:t>
      </w:r>
      <w:r>
        <w:rPr>
          <w:rFonts w:hint="eastAsia" w:ascii="仿宋" w:hAnsi="仿宋" w:eastAsia="仿宋"/>
          <w:color w:val="auto"/>
          <w:sz w:val="36"/>
          <w:szCs w:val="36"/>
          <w:u w:val="single"/>
        </w:rPr>
        <w:t xml:space="preserve">  </w:t>
      </w:r>
      <w:r>
        <w:rPr>
          <w:rFonts w:hint="eastAsia" w:ascii="仿宋" w:hAnsi="仿宋" w:eastAsia="仿宋"/>
          <w:color w:val="auto"/>
          <w:sz w:val="36"/>
          <w:szCs w:val="36"/>
          <w:u w:val="single"/>
          <w:lang w:val="en-US" w:eastAsia="zh-CN"/>
        </w:rPr>
        <w:t xml:space="preserve">   </w:t>
      </w:r>
    </w:p>
    <w:p w14:paraId="1CFF7B3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_GB2312" w:eastAsia="仿宋_GB2312"/>
          <w:color w:val="auto"/>
          <w:sz w:val="36"/>
          <w:szCs w:val="36"/>
          <w:u w:val="single"/>
        </w:rPr>
      </w:pPr>
    </w:p>
    <w:p w14:paraId="4B7473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_GB2312" w:eastAsia="仿宋_GB2312"/>
          <w:color w:val="auto"/>
          <w:sz w:val="36"/>
          <w:szCs w:val="36"/>
          <w:u w:val="single"/>
        </w:rPr>
      </w:pPr>
    </w:p>
    <w:p w14:paraId="1D8F0E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_GB2312" w:eastAsia="仿宋_GB2312"/>
          <w:color w:val="auto"/>
          <w:sz w:val="36"/>
          <w:szCs w:val="36"/>
          <w:u w:val="single"/>
        </w:rPr>
      </w:pPr>
    </w:p>
    <w:p w14:paraId="3D72F8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仿宋_GB2312" w:eastAsia="仿宋_GB2312"/>
          <w:color w:val="auto"/>
          <w:sz w:val="36"/>
          <w:szCs w:val="36"/>
          <w:u w:val="single"/>
        </w:rPr>
      </w:pPr>
    </w:p>
    <w:p w14:paraId="702C61B8">
      <w:pPr>
        <w:keepNext w:val="0"/>
        <w:keepLines w:val="0"/>
        <w:pageBreakBefore w:val="0"/>
        <w:widowControl w:val="0"/>
        <w:kinsoku/>
        <w:wordWrap/>
        <w:overflowPunct/>
        <w:topLinePunct w:val="0"/>
        <w:autoSpaceDE/>
        <w:autoSpaceDN/>
        <w:bidi w:val="0"/>
        <w:jc w:val="center"/>
        <w:textAlignment w:val="auto"/>
        <w:outlineLvl w:val="9"/>
        <w:rPr>
          <w:rFonts w:hint="eastAsia" w:ascii="楷体" w:hAnsi="楷体" w:eastAsia="楷体"/>
          <w:color w:val="auto"/>
          <w:sz w:val="36"/>
          <w:szCs w:val="36"/>
        </w:rPr>
        <w:sectPr>
          <w:headerReference r:id="rId3" w:type="default"/>
          <w:pgSz w:w="11906"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楷体" w:hAnsi="楷体" w:eastAsia="楷体"/>
          <w:color w:val="auto"/>
          <w:sz w:val="36"/>
          <w:szCs w:val="36"/>
        </w:rPr>
        <w:t>中华人民共和国生态环境部</w:t>
      </w:r>
    </w:p>
    <w:p w14:paraId="1B58167E">
      <w:pPr>
        <w:pStyle w:val="9"/>
        <w:jc w:val="both"/>
        <w:rPr>
          <w:rFonts w:hint="eastAsia" w:eastAsia="新宋体-18030"/>
          <w:color w:val="auto"/>
          <w:lang w:eastAsia="zh-CN"/>
        </w:rPr>
      </w:pPr>
    </w:p>
    <w:p w14:paraId="7821E991">
      <w:pPr>
        <w:pStyle w:val="9"/>
        <w:jc w:val="both"/>
        <w:rPr>
          <w:rFonts w:hint="eastAsia" w:eastAsia="新宋体-18030"/>
          <w:color w:val="auto"/>
          <w:lang w:eastAsia="zh-CN"/>
        </w:rPr>
      </w:pPr>
    </w:p>
    <w:p w14:paraId="11FEDB12">
      <w:pPr>
        <w:pStyle w:val="9"/>
        <w:jc w:val="both"/>
        <w:rPr>
          <w:rFonts w:hint="eastAsia" w:eastAsia="新宋体-18030"/>
          <w:color w:val="auto"/>
          <w:lang w:eastAsia="zh-CN"/>
        </w:rPr>
      </w:pPr>
    </w:p>
    <w:p w14:paraId="0213CC01">
      <w:pPr>
        <w:jc w:val="center"/>
        <w:outlineLvl w:val="0"/>
        <w:rPr>
          <w:rFonts w:hint="eastAsia" w:ascii="楷体" w:hAnsi="楷体" w:eastAsia="楷体"/>
          <w:color w:val="auto"/>
          <w:sz w:val="36"/>
          <w:szCs w:val="36"/>
        </w:rPr>
      </w:pPr>
      <w:r>
        <w:rPr>
          <w:rFonts w:hint="eastAsia" w:ascii="黑体" w:hAnsi="黑体" w:eastAsia="黑体"/>
          <w:snapToGrid w:val="0"/>
          <w:color w:val="auto"/>
          <w:sz w:val="30"/>
          <w:szCs w:val="30"/>
        </w:rPr>
        <w:t>一、建设项目基本情况</w:t>
      </w:r>
    </w:p>
    <w:tbl>
      <w:tblPr>
        <w:tblStyle w:val="19"/>
        <w:tblW w:w="96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35"/>
        <w:gridCol w:w="1627"/>
        <w:gridCol w:w="2737"/>
        <w:gridCol w:w="3765"/>
      </w:tblGrid>
      <w:tr w14:paraId="44C1C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35" w:type="dxa"/>
            <w:noWrap w:val="0"/>
            <w:tcMar>
              <w:top w:w="16" w:type="dxa"/>
              <w:left w:w="16" w:type="dxa"/>
              <w:right w:w="16" w:type="dxa"/>
            </w:tcMar>
            <w:vAlign w:val="center"/>
          </w:tcPr>
          <w:p w14:paraId="3B31157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8129" w:type="dxa"/>
            <w:gridSpan w:val="3"/>
            <w:noWrap w:val="0"/>
            <w:vAlign w:val="center"/>
          </w:tcPr>
          <w:p w14:paraId="3478727C">
            <w:pPr>
              <w:adjustRightInd w:val="0"/>
              <w:snapToGrid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年加工30万平方米钢化中空玻璃项目</w:t>
            </w:r>
          </w:p>
        </w:tc>
      </w:tr>
      <w:tr w14:paraId="40C015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535" w:type="dxa"/>
            <w:noWrap w:val="0"/>
            <w:tcMar>
              <w:top w:w="16" w:type="dxa"/>
              <w:left w:w="16" w:type="dxa"/>
              <w:right w:w="16" w:type="dxa"/>
            </w:tcMar>
            <w:vAlign w:val="center"/>
          </w:tcPr>
          <w:p w14:paraId="524B087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p>
          <w:p w14:paraId="50D5F8B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代码</w:t>
            </w:r>
          </w:p>
        </w:tc>
        <w:tc>
          <w:tcPr>
            <w:tcW w:w="8129" w:type="dxa"/>
            <w:gridSpan w:val="3"/>
            <w:noWrap w:val="0"/>
            <w:vAlign w:val="center"/>
          </w:tcPr>
          <w:p w14:paraId="67AD5DFE">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2403-211283-04-01-881858</w:t>
            </w:r>
          </w:p>
        </w:tc>
      </w:tr>
      <w:tr w14:paraId="0B39F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535" w:type="dxa"/>
            <w:noWrap w:val="0"/>
            <w:tcMar>
              <w:top w:w="16" w:type="dxa"/>
              <w:left w:w="16" w:type="dxa"/>
              <w:right w:w="16" w:type="dxa"/>
            </w:tcMar>
            <w:vAlign w:val="center"/>
          </w:tcPr>
          <w:p w14:paraId="47CD448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627" w:type="dxa"/>
            <w:noWrap w:val="0"/>
            <w:vAlign w:val="center"/>
          </w:tcPr>
          <w:p w14:paraId="4DFCC4C3">
            <w:pPr>
              <w:adjustRightInd w:val="0"/>
              <w:snapToGrid w:val="0"/>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尚鑫</w:t>
            </w:r>
          </w:p>
        </w:tc>
        <w:tc>
          <w:tcPr>
            <w:tcW w:w="2737" w:type="dxa"/>
            <w:noWrap w:val="0"/>
            <w:vAlign w:val="center"/>
          </w:tcPr>
          <w:p w14:paraId="0E05B35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3765" w:type="dxa"/>
            <w:noWrap w:val="0"/>
            <w:vAlign w:val="center"/>
          </w:tcPr>
          <w:p w14:paraId="10E7E4EE">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186xxxx1391</w:t>
            </w:r>
            <w:bookmarkStart w:id="8" w:name="_GoBack"/>
            <w:bookmarkEnd w:id="8"/>
          </w:p>
        </w:tc>
      </w:tr>
      <w:tr w14:paraId="1D1AE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535" w:type="dxa"/>
            <w:noWrap w:val="0"/>
            <w:tcMar>
              <w:top w:w="16" w:type="dxa"/>
              <w:left w:w="16" w:type="dxa"/>
              <w:right w:w="16" w:type="dxa"/>
            </w:tcMar>
            <w:vAlign w:val="center"/>
          </w:tcPr>
          <w:p w14:paraId="360F451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w:t>
            </w:r>
          </w:p>
          <w:p w14:paraId="34B7FDAD">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地点</w:t>
            </w:r>
          </w:p>
        </w:tc>
        <w:tc>
          <w:tcPr>
            <w:tcW w:w="8129" w:type="dxa"/>
            <w:gridSpan w:val="3"/>
            <w:noWrap w:val="0"/>
            <w:vAlign w:val="center"/>
          </w:tcPr>
          <w:p w14:paraId="40A1E5A6">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辽宁省铁岭市调兵山经济开发区南开发区</w:t>
            </w:r>
          </w:p>
        </w:tc>
      </w:tr>
      <w:tr w14:paraId="1DC9B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535" w:type="dxa"/>
            <w:noWrap w:val="0"/>
            <w:tcMar>
              <w:top w:w="16" w:type="dxa"/>
              <w:left w:w="16" w:type="dxa"/>
              <w:right w:w="16" w:type="dxa"/>
            </w:tcMar>
            <w:vAlign w:val="center"/>
          </w:tcPr>
          <w:p w14:paraId="1039A8C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w:t>
            </w:r>
          </w:p>
          <w:p w14:paraId="142E8D7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坐标</w:t>
            </w:r>
          </w:p>
        </w:tc>
        <w:tc>
          <w:tcPr>
            <w:tcW w:w="8129" w:type="dxa"/>
            <w:gridSpan w:val="3"/>
            <w:noWrap w:val="0"/>
            <w:vAlign w:val="center"/>
          </w:tcPr>
          <w:p w14:paraId="09A55A78">
            <w:pPr>
              <w:jc w:val="center"/>
              <w:rPr>
                <w:rFonts w:hint="default" w:ascii="Times New Roman" w:hAnsi="Times New Roman" w:eastAsia="宋体" w:cs="Times New Roman"/>
                <w:color w:val="auto"/>
                <w:sz w:val="24"/>
                <w:szCs w:val="24"/>
              </w:rPr>
            </w:pPr>
            <w:r>
              <w:rPr>
                <w:rFonts w:hint="eastAsia" w:cs="Times New Roman"/>
                <w:color w:val="auto"/>
                <w:sz w:val="24"/>
                <w:szCs w:val="24"/>
                <w:u w:val="none"/>
                <w:lang w:val="en-US" w:eastAsia="zh-CN"/>
              </w:rPr>
              <w:t>123</w:t>
            </w:r>
            <w:r>
              <w:rPr>
                <w:rFonts w:hint="default" w:ascii="Times New Roman" w:hAnsi="Times New Roman" w:eastAsia="宋体" w:cs="Times New Roman"/>
                <w:color w:val="auto"/>
                <w:sz w:val="24"/>
                <w:szCs w:val="24"/>
                <w:u w:val="none"/>
              </w:rPr>
              <w:t>度</w:t>
            </w:r>
            <w:r>
              <w:rPr>
                <w:rFonts w:hint="eastAsia" w:cs="Times New Roman"/>
                <w:color w:val="auto"/>
                <w:sz w:val="24"/>
                <w:szCs w:val="24"/>
                <w:u w:val="none"/>
                <w:lang w:val="en-US" w:eastAsia="zh-CN"/>
              </w:rPr>
              <w:t>33</w:t>
            </w:r>
            <w:r>
              <w:rPr>
                <w:rFonts w:hint="default" w:ascii="Times New Roman" w:hAnsi="Times New Roman" w:eastAsia="宋体" w:cs="Times New Roman"/>
                <w:color w:val="auto"/>
                <w:sz w:val="24"/>
                <w:szCs w:val="24"/>
                <w:u w:val="none"/>
              </w:rPr>
              <w:t>分</w:t>
            </w:r>
            <w:r>
              <w:rPr>
                <w:rFonts w:hint="eastAsia" w:cs="Times New Roman"/>
                <w:color w:val="auto"/>
                <w:sz w:val="24"/>
                <w:szCs w:val="24"/>
                <w:u w:val="none"/>
                <w:lang w:val="en-US" w:eastAsia="zh-CN"/>
              </w:rPr>
              <w:t>20.175</w:t>
            </w:r>
            <w:r>
              <w:rPr>
                <w:rFonts w:hint="default" w:ascii="Times New Roman" w:hAnsi="Times New Roman" w:eastAsia="宋体" w:cs="Times New Roman"/>
                <w:color w:val="auto"/>
                <w:sz w:val="24"/>
                <w:szCs w:val="24"/>
                <w:u w:val="none"/>
              </w:rPr>
              <w:t>秒，</w:t>
            </w:r>
            <w:r>
              <w:rPr>
                <w:rFonts w:hint="eastAsia" w:cs="Times New Roman"/>
                <w:color w:val="auto"/>
                <w:sz w:val="24"/>
                <w:szCs w:val="24"/>
                <w:u w:val="none"/>
                <w:lang w:val="en-US" w:eastAsia="zh-CN"/>
              </w:rPr>
              <w:t>42</w:t>
            </w:r>
            <w:r>
              <w:rPr>
                <w:rFonts w:hint="default" w:ascii="Times New Roman" w:hAnsi="Times New Roman" w:eastAsia="宋体" w:cs="Times New Roman"/>
                <w:color w:val="auto"/>
                <w:sz w:val="24"/>
                <w:szCs w:val="24"/>
                <w:u w:val="none"/>
              </w:rPr>
              <w:t>度</w:t>
            </w:r>
            <w:r>
              <w:rPr>
                <w:rFonts w:hint="eastAsia" w:cs="Times New Roman"/>
                <w:color w:val="auto"/>
                <w:sz w:val="24"/>
                <w:szCs w:val="24"/>
                <w:u w:val="none"/>
                <w:lang w:val="en-US" w:eastAsia="zh-CN"/>
              </w:rPr>
              <w:t>25</w:t>
            </w:r>
            <w:r>
              <w:rPr>
                <w:rFonts w:hint="default" w:ascii="Times New Roman" w:hAnsi="Times New Roman" w:eastAsia="宋体" w:cs="Times New Roman"/>
                <w:color w:val="auto"/>
                <w:sz w:val="24"/>
                <w:szCs w:val="24"/>
                <w:u w:val="none"/>
              </w:rPr>
              <w:t>分</w:t>
            </w:r>
            <w:r>
              <w:rPr>
                <w:rFonts w:hint="eastAsia" w:cs="Times New Roman"/>
                <w:color w:val="auto"/>
                <w:sz w:val="24"/>
                <w:szCs w:val="24"/>
                <w:u w:val="none"/>
                <w:lang w:val="en-US" w:eastAsia="zh-CN"/>
              </w:rPr>
              <w:t>14.720</w:t>
            </w:r>
            <w:r>
              <w:rPr>
                <w:rFonts w:hint="default" w:ascii="Times New Roman" w:hAnsi="Times New Roman" w:eastAsia="宋体" w:cs="Times New Roman"/>
                <w:color w:val="auto"/>
                <w:sz w:val="24"/>
                <w:szCs w:val="24"/>
                <w:u w:val="none"/>
              </w:rPr>
              <w:t>秒</w:t>
            </w:r>
          </w:p>
        </w:tc>
      </w:tr>
      <w:tr w14:paraId="4161F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35" w:type="dxa"/>
            <w:noWrap w:val="0"/>
            <w:tcMar>
              <w:top w:w="16" w:type="dxa"/>
              <w:left w:w="16" w:type="dxa"/>
              <w:right w:w="16" w:type="dxa"/>
            </w:tcMar>
            <w:vAlign w:val="center"/>
          </w:tcPr>
          <w:p w14:paraId="01575B1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国民经济行业类别</w:t>
            </w:r>
          </w:p>
        </w:tc>
        <w:tc>
          <w:tcPr>
            <w:tcW w:w="1627" w:type="dxa"/>
            <w:noWrap w:val="0"/>
            <w:vAlign w:val="center"/>
          </w:tcPr>
          <w:p w14:paraId="0C156AFB">
            <w:pPr>
              <w:adjustRightInd w:val="0"/>
              <w:snapToGrid w:val="0"/>
              <w:jc w:val="center"/>
              <w:rPr>
                <w:rFonts w:hint="default"/>
                <w:color w:val="auto"/>
                <w:sz w:val="24"/>
                <w:szCs w:val="24"/>
                <w:lang w:val="en-US" w:eastAsia="zh-CN"/>
              </w:rPr>
            </w:pPr>
            <w:r>
              <w:rPr>
                <w:rFonts w:hint="default"/>
                <w:color w:val="auto"/>
                <w:sz w:val="24"/>
                <w:szCs w:val="24"/>
                <w:lang w:val="en-US" w:eastAsia="zh-CN"/>
              </w:rPr>
              <w:t>C3042特种玻璃制造</w:t>
            </w:r>
          </w:p>
        </w:tc>
        <w:tc>
          <w:tcPr>
            <w:tcW w:w="2737" w:type="dxa"/>
            <w:noWrap w:val="0"/>
            <w:vAlign w:val="center"/>
          </w:tcPr>
          <w:p w14:paraId="388C53C3">
            <w:pPr>
              <w:adjustRightInd w:val="0"/>
              <w:snapToGrid w:val="0"/>
              <w:jc w:val="center"/>
              <w:rPr>
                <w:rFonts w:hint="default" w:ascii="Times New Roman" w:hAnsi="Times New Roman" w:eastAsia="宋体" w:cs="Times New Roman"/>
                <w:color w:val="auto"/>
                <w:sz w:val="24"/>
                <w:szCs w:val="24"/>
              </w:rPr>
            </w:pPr>
            <w:bookmarkStart w:id="0" w:name="_Hlk49843745"/>
            <w:r>
              <w:rPr>
                <w:rFonts w:hint="default" w:ascii="Times New Roman" w:hAnsi="Times New Roman" w:eastAsia="宋体" w:cs="Times New Roman"/>
                <w:color w:val="auto"/>
                <w:sz w:val="24"/>
                <w:szCs w:val="24"/>
              </w:rPr>
              <w:t>建设项目行业类别</w:t>
            </w:r>
            <w:bookmarkEnd w:id="0"/>
          </w:p>
        </w:tc>
        <w:tc>
          <w:tcPr>
            <w:tcW w:w="3765" w:type="dxa"/>
            <w:noWrap w:val="0"/>
            <w:vAlign w:val="center"/>
          </w:tcPr>
          <w:p w14:paraId="11B08969">
            <w:pPr>
              <w:numPr>
                <w:ilvl w:val="0"/>
                <w:numId w:val="0"/>
              </w:numPr>
              <w:adjustRightInd w:val="0"/>
              <w:snapToGrid w:val="0"/>
              <w:jc w:val="center"/>
              <w:rPr>
                <w:rFonts w:hint="eastAsia" w:cs="Times New Roman"/>
                <w:color w:val="auto"/>
                <w:sz w:val="24"/>
                <w:szCs w:val="24"/>
                <w:lang w:val="en-US" w:eastAsia="zh-CN"/>
              </w:rPr>
            </w:pPr>
            <w:r>
              <w:rPr>
                <w:rFonts w:hint="eastAsia" w:cs="Times New Roman"/>
                <w:color w:val="auto"/>
                <w:sz w:val="24"/>
                <w:szCs w:val="24"/>
                <w:lang w:val="en-US" w:eastAsia="zh-CN"/>
              </w:rPr>
              <w:t>二十七、非金属矿物制品业</w:t>
            </w:r>
          </w:p>
          <w:p w14:paraId="1918409A">
            <w:pPr>
              <w:numPr>
                <w:ilvl w:val="0"/>
                <w:numId w:val="0"/>
              </w:num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57、玻璃制品制造</w:t>
            </w:r>
          </w:p>
        </w:tc>
      </w:tr>
      <w:tr w14:paraId="705A2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959" w:hRule="atLeast"/>
        </w:trPr>
        <w:tc>
          <w:tcPr>
            <w:tcW w:w="1535" w:type="dxa"/>
            <w:noWrap w:val="0"/>
            <w:tcMar>
              <w:top w:w="16" w:type="dxa"/>
              <w:left w:w="16" w:type="dxa"/>
              <w:right w:w="16" w:type="dxa"/>
            </w:tcMar>
            <w:vAlign w:val="center"/>
          </w:tcPr>
          <w:p w14:paraId="158420F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w:t>
            </w:r>
          </w:p>
          <w:p w14:paraId="50810CA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性质</w:t>
            </w:r>
          </w:p>
        </w:tc>
        <w:tc>
          <w:tcPr>
            <w:tcW w:w="1627" w:type="dxa"/>
            <w:noWrap w:val="0"/>
            <w:vAlign w:val="center"/>
          </w:tcPr>
          <w:p w14:paraId="63C037D2">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w:t>
            </w:r>
          </w:p>
          <w:p w14:paraId="2D354D81">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14:paraId="2D6A6035">
            <w:pPr>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扩建</w:t>
            </w:r>
          </w:p>
          <w:p w14:paraId="60DF0CF4">
            <w:pPr>
              <w:spacing w:line="360" w:lineRule="auto"/>
              <w:jc w:val="left"/>
              <w:rPr>
                <w:rFonts w:hint="default" w:ascii="Times New Roman" w:hAnsi="Times New Roman" w:eastAsia="宋体" w:cs="Times New Roman"/>
                <w:color w:val="auto"/>
                <w:sz w:val="24"/>
                <w:szCs w:val="24"/>
              </w:rPr>
            </w:pPr>
            <w:r>
              <w:rPr>
                <w:rFonts w:hint="eastAsia" w:cs="Times New Roman"/>
                <w:color w:val="auto"/>
                <w:sz w:val="24"/>
                <w:szCs w:val="24"/>
                <w:shd w:val="clear" w:color="auto" w:fill="FFFFFF"/>
                <w:lang w:eastAsia="zh-CN"/>
              </w:rPr>
              <w:t>□</w:t>
            </w:r>
            <w:r>
              <w:rPr>
                <w:rFonts w:hint="default" w:ascii="Times New Roman" w:hAnsi="Times New Roman" w:eastAsia="宋体" w:cs="Times New Roman"/>
                <w:color w:val="auto"/>
                <w:sz w:val="24"/>
                <w:szCs w:val="24"/>
              </w:rPr>
              <w:t>技术改造</w:t>
            </w:r>
          </w:p>
        </w:tc>
        <w:tc>
          <w:tcPr>
            <w:tcW w:w="2737" w:type="dxa"/>
            <w:noWrap w:val="0"/>
            <w:vAlign w:val="center"/>
          </w:tcPr>
          <w:p w14:paraId="652AF91C">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14:paraId="7FA1E4BF">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765" w:type="dxa"/>
            <w:noWrap w:val="0"/>
            <w:vAlign w:val="center"/>
          </w:tcPr>
          <w:p w14:paraId="0D598AAF">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shd w:val="clear" w:color="auto" w:fill="FFFFFF"/>
              </w:rPr>
              <w:t>☑</w:t>
            </w:r>
            <w:r>
              <w:rPr>
                <w:rFonts w:hint="default" w:ascii="Times New Roman" w:hAnsi="Times New Roman" w:eastAsia="宋体" w:cs="Times New Roman"/>
                <w:color w:val="auto"/>
                <w:sz w:val="24"/>
                <w:szCs w:val="24"/>
              </w:rPr>
              <w:t>首次申报项目</w:t>
            </w:r>
          </w:p>
          <w:p w14:paraId="0436253B">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□不予批准后再次申报项目</w:t>
            </w:r>
          </w:p>
          <w:p w14:paraId="19FED46F">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□超五年重新审核项目</w:t>
            </w:r>
          </w:p>
          <w:p w14:paraId="2597982E">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□重大变动重新报批项目</w:t>
            </w:r>
          </w:p>
        </w:tc>
      </w:tr>
      <w:tr w14:paraId="53FB8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1535" w:type="dxa"/>
            <w:noWrap w:val="0"/>
            <w:tcMar>
              <w:top w:w="16" w:type="dxa"/>
              <w:left w:w="16" w:type="dxa"/>
              <w:right w:w="16" w:type="dxa"/>
            </w:tcMar>
            <w:vAlign w:val="center"/>
          </w:tcPr>
          <w:p w14:paraId="4535362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项目审批（核准/备案）部门（选填）</w:t>
            </w:r>
          </w:p>
        </w:tc>
        <w:tc>
          <w:tcPr>
            <w:tcW w:w="1627" w:type="dxa"/>
            <w:noWrap w:val="0"/>
            <w:vAlign w:val="center"/>
          </w:tcPr>
          <w:p w14:paraId="6BDDFBD2">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调兵山经济开发区管理委员会</w:t>
            </w:r>
          </w:p>
        </w:tc>
        <w:tc>
          <w:tcPr>
            <w:tcW w:w="2737" w:type="dxa"/>
            <w:noWrap w:val="0"/>
            <w:vAlign w:val="center"/>
          </w:tcPr>
          <w:p w14:paraId="02690CB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14:paraId="3DE5D18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3765" w:type="dxa"/>
            <w:noWrap w:val="0"/>
            <w:vAlign w:val="center"/>
          </w:tcPr>
          <w:p w14:paraId="52490836">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铁调经开备[2024]1号</w:t>
            </w:r>
          </w:p>
        </w:tc>
      </w:tr>
      <w:tr w14:paraId="24ECA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1535" w:type="dxa"/>
            <w:noWrap w:val="0"/>
            <w:tcMar>
              <w:top w:w="16" w:type="dxa"/>
              <w:left w:w="16" w:type="dxa"/>
              <w:right w:w="16" w:type="dxa"/>
            </w:tcMar>
            <w:vAlign w:val="center"/>
          </w:tcPr>
          <w:p w14:paraId="3B8B786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627" w:type="dxa"/>
            <w:noWrap w:val="0"/>
            <w:vAlign w:val="center"/>
          </w:tcPr>
          <w:p w14:paraId="548DC307">
            <w:pPr>
              <w:adjustRightInd w:val="0"/>
              <w:snapToGrid w:val="0"/>
              <w:jc w:val="center"/>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3500</w:t>
            </w:r>
          </w:p>
        </w:tc>
        <w:tc>
          <w:tcPr>
            <w:tcW w:w="2737" w:type="dxa"/>
            <w:noWrap w:val="0"/>
            <w:tcMar>
              <w:top w:w="16" w:type="dxa"/>
              <w:left w:w="16" w:type="dxa"/>
              <w:right w:w="16" w:type="dxa"/>
            </w:tcMar>
            <w:vAlign w:val="center"/>
          </w:tcPr>
          <w:p w14:paraId="58A58FA6">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765" w:type="dxa"/>
            <w:noWrap w:val="0"/>
            <w:vAlign w:val="center"/>
          </w:tcPr>
          <w:p w14:paraId="05909386">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79.5</w:t>
            </w:r>
          </w:p>
        </w:tc>
      </w:tr>
      <w:tr w14:paraId="6795C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0" w:hRule="atLeast"/>
        </w:trPr>
        <w:tc>
          <w:tcPr>
            <w:tcW w:w="1535" w:type="dxa"/>
            <w:noWrap w:val="0"/>
            <w:tcMar>
              <w:top w:w="16" w:type="dxa"/>
              <w:left w:w="16" w:type="dxa"/>
              <w:right w:w="16" w:type="dxa"/>
            </w:tcMar>
            <w:vAlign w:val="center"/>
          </w:tcPr>
          <w:p w14:paraId="7D13AFC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627" w:type="dxa"/>
            <w:noWrap w:val="0"/>
            <w:vAlign w:val="center"/>
          </w:tcPr>
          <w:p w14:paraId="5EBEDB26">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2.27</w:t>
            </w:r>
          </w:p>
        </w:tc>
        <w:tc>
          <w:tcPr>
            <w:tcW w:w="2737" w:type="dxa"/>
            <w:noWrap w:val="0"/>
            <w:tcMar>
              <w:top w:w="16" w:type="dxa"/>
              <w:left w:w="16" w:type="dxa"/>
              <w:right w:w="16" w:type="dxa"/>
            </w:tcMar>
            <w:vAlign w:val="center"/>
          </w:tcPr>
          <w:p w14:paraId="0ABE8CF0">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765" w:type="dxa"/>
            <w:noWrap w:val="0"/>
            <w:vAlign w:val="center"/>
          </w:tcPr>
          <w:p w14:paraId="78E7F526">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个月</w:t>
            </w:r>
          </w:p>
        </w:tc>
      </w:tr>
      <w:tr w14:paraId="32260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535" w:type="dxa"/>
            <w:noWrap w:val="0"/>
            <w:tcMar>
              <w:top w:w="16" w:type="dxa"/>
              <w:left w:w="16" w:type="dxa"/>
              <w:right w:w="16" w:type="dxa"/>
            </w:tcMar>
            <w:vAlign w:val="center"/>
          </w:tcPr>
          <w:p w14:paraId="6203257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627" w:type="dxa"/>
            <w:noWrap w:val="0"/>
            <w:vAlign w:val="center"/>
          </w:tcPr>
          <w:p w14:paraId="70C25CC2">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shd w:val="clear" w:color="auto" w:fill="FFFFFF"/>
              </w:rPr>
              <w:t>☑</w:t>
            </w:r>
            <w:r>
              <w:rPr>
                <w:rFonts w:hint="default" w:ascii="Times New Roman" w:hAnsi="Times New Roman" w:eastAsia="宋体" w:cs="Times New Roman"/>
                <w:color w:val="auto"/>
                <w:sz w:val="24"/>
                <w:szCs w:val="24"/>
              </w:rPr>
              <w:t>否</w:t>
            </w:r>
          </w:p>
          <w:p w14:paraId="7C42CD0F">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2737" w:type="dxa"/>
            <w:noWrap w:val="0"/>
            <w:tcMar>
              <w:top w:w="16" w:type="dxa"/>
              <w:left w:w="16" w:type="dxa"/>
              <w:right w:w="16" w:type="dxa"/>
            </w:tcMar>
            <w:vAlign w:val="center"/>
          </w:tcPr>
          <w:p w14:paraId="2B8FE968">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14:paraId="5FE5706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3765" w:type="dxa"/>
            <w:noWrap w:val="0"/>
            <w:vAlign w:val="center"/>
          </w:tcPr>
          <w:p w14:paraId="22E3C3A3">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32074</w:t>
            </w:r>
            <w:r>
              <w:rPr>
                <w:rFonts w:hint="default" w:ascii="Times New Roman" w:hAnsi="Times New Roman" w:eastAsia="宋体" w:cs="Times New Roman"/>
                <w:color w:val="auto"/>
                <w:spacing w:val="-6"/>
                <w:sz w:val="24"/>
                <w:szCs w:val="24"/>
              </w:rPr>
              <w:t>m</w:t>
            </w:r>
            <w:r>
              <w:rPr>
                <w:rFonts w:hint="default" w:ascii="Times New Roman" w:hAnsi="Times New Roman" w:eastAsia="宋体" w:cs="Times New Roman"/>
                <w:color w:val="auto"/>
                <w:spacing w:val="-6"/>
                <w:sz w:val="24"/>
                <w:szCs w:val="24"/>
                <w:vertAlign w:val="superscript"/>
              </w:rPr>
              <w:t>2</w:t>
            </w:r>
          </w:p>
        </w:tc>
      </w:tr>
      <w:tr w14:paraId="18FB9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35" w:type="dxa"/>
            <w:noWrap w:val="0"/>
            <w:vAlign w:val="center"/>
          </w:tcPr>
          <w:p w14:paraId="4A8D4398">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8129" w:type="dxa"/>
            <w:gridSpan w:val="3"/>
            <w:noWrap w:val="0"/>
            <w:vAlign w:val="center"/>
          </w:tcPr>
          <w:p w14:paraId="2B595D2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根据《建设项目环境影响报告表编制技术指南》（试行）专项评价设置原则表，本项目无需设置专项评价，详见表</w:t>
            </w:r>
            <w:r>
              <w:rPr>
                <w:rFonts w:hint="default" w:ascii="Times New Roman" w:hAnsi="Times New Roman" w:eastAsia="宋体"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w:t>
            </w:r>
          </w:p>
          <w:p w14:paraId="7A3470A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eastAsia="宋体"/>
                <w:color w:val="000000"/>
                <w:kern w:val="0"/>
                <w:sz w:val="24"/>
                <w:highlight w:val="none"/>
                <w:lang w:val="en-US" w:eastAsia="zh-CN"/>
              </w:rPr>
            </w:pPr>
            <w:r>
              <w:rPr>
                <w:b/>
                <w:color w:val="000000"/>
                <w:szCs w:val="21"/>
                <w:highlight w:val="none"/>
              </w:rPr>
              <w:t>表1</w:t>
            </w:r>
            <w:r>
              <w:rPr>
                <w:rFonts w:hint="eastAsia"/>
                <w:b/>
                <w:color w:val="000000"/>
                <w:szCs w:val="21"/>
                <w:highlight w:val="none"/>
              </w:rPr>
              <w:t>-1</w:t>
            </w:r>
            <w:r>
              <w:rPr>
                <w:b/>
                <w:color w:val="000000"/>
                <w:szCs w:val="21"/>
                <w:highlight w:val="none"/>
              </w:rPr>
              <w:t xml:space="preserve"> </w:t>
            </w:r>
            <w:r>
              <w:rPr>
                <w:rFonts w:hint="eastAsia"/>
                <w:b/>
                <w:color w:val="000000"/>
                <w:szCs w:val="21"/>
                <w:highlight w:val="none"/>
              </w:rPr>
              <w:t>专项评价设置判定</w:t>
            </w:r>
            <w:r>
              <w:rPr>
                <w:b/>
                <w:color w:val="000000"/>
                <w:szCs w:val="21"/>
                <w:highlight w:val="none"/>
              </w:rPr>
              <w:t>一览表</w:t>
            </w:r>
            <w:r>
              <w:rPr>
                <w:rFonts w:hint="eastAsia"/>
                <w:b/>
                <w:color w:val="000000"/>
                <w:szCs w:val="21"/>
                <w:highlight w:val="none"/>
                <w:lang w:val="en-US" w:eastAsia="zh-CN"/>
              </w:rPr>
              <w:t xml:space="preserve">  </w:t>
            </w:r>
          </w:p>
          <w:tbl>
            <w:tblPr>
              <w:tblStyle w:val="1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76"/>
              <w:gridCol w:w="2931"/>
              <w:gridCol w:w="1375"/>
            </w:tblGrid>
            <w:tr w14:paraId="16941F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24" w:type="pct"/>
                  <w:noWrap w:val="0"/>
                  <w:vAlign w:val="center"/>
                </w:tcPr>
                <w:p w14:paraId="2A4F0881">
                  <w:pPr>
                    <w:pStyle w:val="80"/>
                    <w:rPr>
                      <w:color w:val="000000"/>
                      <w:highlight w:val="none"/>
                    </w:rPr>
                  </w:pPr>
                  <w:r>
                    <w:rPr>
                      <w:color w:val="000000"/>
                      <w:highlight w:val="none"/>
                    </w:rPr>
                    <w:t>要素</w:t>
                  </w:r>
                </w:p>
              </w:tc>
              <w:tc>
                <w:tcPr>
                  <w:tcW w:w="1754" w:type="pct"/>
                  <w:noWrap w:val="0"/>
                  <w:vAlign w:val="center"/>
                </w:tcPr>
                <w:p w14:paraId="09ADEDE4">
                  <w:pPr>
                    <w:pStyle w:val="80"/>
                    <w:rPr>
                      <w:color w:val="000000"/>
                      <w:highlight w:val="none"/>
                    </w:rPr>
                  </w:pPr>
                  <w:r>
                    <w:rPr>
                      <w:color w:val="000000"/>
                      <w:highlight w:val="none"/>
                    </w:rPr>
                    <w:t>判定依据</w:t>
                  </w:r>
                </w:p>
              </w:tc>
              <w:tc>
                <w:tcPr>
                  <w:tcW w:w="1852" w:type="pct"/>
                  <w:noWrap w:val="0"/>
                  <w:vAlign w:val="center"/>
                </w:tcPr>
                <w:p w14:paraId="1D33545B">
                  <w:pPr>
                    <w:pStyle w:val="80"/>
                    <w:rPr>
                      <w:color w:val="000000"/>
                      <w:highlight w:val="none"/>
                    </w:rPr>
                  </w:pPr>
                  <w:r>
                    <w:rPr>
                      <w:color w:val="000000"/>
                      <w:highlight w:val="none"/>
                    </w:rPr>
                    <w:t>判定过程</w:t>
                  </w:r>
                </w:p>
              </w:tc>
              <w:tc>
                <w:tcPr>
                  <w:tcW w:w="869" w:type="pct"/>
                  <w:noWrap w:val="0"/>
                  <w:vAlign w:val="center"/>
                </w:tcPr>
                <w:p w14:paraId="7909C07E">
                  <w:pPr>
                    <w:pStyle w:val="80"/>
                    <w:rPr>
                      <w:color w:val="000000"/>
                      <w:highlight w:val="none"/>
                    </w:rPr>
                  </w:pPr>
                  <w:r>
                    <w:rPr>
                      <w:color w:val="000000"/>
                      <w:highlight w:val="none"/>
                    </w:rPr>
                    <w:t>判定结果</w:t>
                  </w:r>
                </w:p>
              </w:tc>
            </w:tr>
            <w:tr w14:paraId="1764CC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24" w:type="pct"/>
                  <w:noWrap w:val="0"/>
                  <w:vAlign w:val="center"/>
                </w:tcPr>
                <w:p w14:paraId="688CBB4F">
                  <w:pPr>
                    <w:pStyle w:val="80"/>
                    <w:rPr>
                      <w:color w:val="000000"/>
                      <w:highlight w:val="none"/>
                    </w:rPr>
                  </w:pPr>
                  <w:r>
                    <w:rPr>
                      <w:color w:val="000000"/>
                      <w:highlight w:val="none"/>
                    </w:rPr>
                    <w:t>大气环境</w:t>
                  </w:r>
                </w:p>
              </w:tc>
              <w:tc>
                <w:tcPr>
                  <w:tcW w:w="1754" w:type="pct"/>
                  <w:noWrap w:val="0"/>
                  <w:vAlign w:val="center"/>
                </w:tcPr>
                <w:p w14:paraId="1DE2B6E8">
                  <w:pPr>
                    <w:pStyle w:val="80"/>
                    <w:rPr>
                      <w:color w:val="000000"/>
                      <w:highlight w:val="none"/>
                    </w:rPr>
                  </w:pPr>
                  <w:r>
                    <w:rPr>
                      <w:color w:val="000000"/>
                      <w:highlight w:val="none"/>
                    </w:rPr>
                    <w:t>排放废气含有毒有害污染物、二噁英、苯并[a]芘、氰化物、氯气且厂界外500米范围内有环境空气保护目标的建设项目。</w:t>
                  </w:r>
                </w:p>
              </w:tc>
              <w:tc>
                <w:tcPr>
                  <w:tcW w:w="1852" w:type="pct"/>
                  <w:noWrap w:val="0"/>
                  <w:vAlign w:val="center"/>
                </w:tcPr>
                <w:p w14:paraId="1329A3EF">
                  <w:pPr>
                    <w:pStyle w:val="80"/>
                    <w:rPr>
                      <w:color w:val="000000"/>
                      <w:highlight w:val="none"/>
                    </w:rPr>
                  </w:pPr>
                  <w:r>
                    <w:rPr>
                      <w:color w:val="000000"/>
                      <w:highlight w:val="none"/>
                    </w:rPr>
                    <w:t>本项目排放的废气中</w:t>
                  </w:r>
                  <w:r>
                    <w:rPr>
                      <w:rFonts w:hint="eastAsia"/>
                      <w:color w:val="000000"/>
                      <w:highlight w:val="none"/>
                      <w:lang w:eastAsia="zh-CN"/>
                    </w:rPr>
                    <w:t>不</w:t>
                  </w:r>
                  <w:r>
                    <w:rPr>
                      <w:color w:val="000000"/>
                      <w:highlight w:val="none"/>
                    </w:rPr>
                    <w:t>含有毒有害污染物二噁英、苯并[a]芘、氰化物、氯气。</w:t>
                  </w:r>
                </w:p>
              </w:tc>
              <w:tc>
                <w:tcPr>
                  <w:tcW w:w="869" w:type="pct"/>
                  <w:noWrap w:val="0"/>
                  <w:vAlign w:val="center"/>
                </w:tcPr>
                <w:p w14:paraId="7CC98A83">
                  <w:pPr>
                    <w:pStyle w:val="80"/>
                    <w:rPr>
                      <w:color w:val="000000"/>
                      <w:highlight w:val="none"/>
                    </w:rPr>
                  </w:pPr>
                  <w:r>
                    <w:rPr>
                      <w:color w:val="000000"/>
                      <w:highlight w:val="none"/>
                    </w:rPr>
                    <w:t>无需设置</w:t>
                  </w:r>
                </w:p>
              </w:tc>
            </w:tr>
            <w:tr w14:paraId="3A97D3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24" w:type="pct"/>
                  <w:noWrap w:val="0"/>
                  <w:vAlign w:val="center"/>
                </w:tcPr>
                <w:p w14:paraId="4ACA9E7D">
                  <w:pPr>
                    <w:pStyle w:val="80"/>
                    <w:rPr>
                      <w:color w:val="000000"/>
                      <w:highlight w:val="none"/>
                    </w:rPr>
                  </w:pPr>
                  <w:r>
                    <w:rPr>
                      <w:color w:val="000000"/>
                      <w:highlight w:val="none"/>
                    </w:rPr>
                    <w:t>地表水环境</w:t>
                  </w:r>
                </w:p>
              </w:tc>
              <w:tc>
                <w:tcPr>
                  <w:tcW w:w="1754" w:type="pct"/>
                  <w:noWrap w:val="0"/>
                  <w:vAlign w:val="center"/>
                </w:tcPr>
                <w:p w14:paraId="5B3567B5">
                  <w:pPr>
                    <w:pStyle w:val="80"/>
                    <w:rPr>
                      <w:color w:val="000000"/>
                      <w:highlight w:val="none"/>
                    </w:rPr>
                  </w:pPr>
                  <w:r>
                    <w:rPr>
                      <w:color w:val="000000"/>
                      <w:highlight w:val="none"/>
                    </w:rPr>
                    <w:t>新增工业废水直排建设项目（槽罐车外送污水处理厂的除外）；新增废水直排的污水集中处理厂。</w:t>
                  </w:r>
                </w:p>
              </w:tc>
              <w:tc>
                <w:tcPr>
                  <w:tcW w:w="1852" w:type="pct"/>
                  <w:noWrap w:val="0"/>
                  <w:vAlign w:val="center"/>
                </w:tcPr>
                <w:p w14:paraId="77B4562B">
                  <w:pPr>
                    <w:pStyle w:val="80"/>
                    <w:rPr>
                      <w:rFonts w:hint="eastAsia"/>
                      <w:color w:val="000000"/>
                      <w:highlight w:val="none"/>
                    </w:rPr>
                  </w:pPr>
                  <w:r>
                    <w:rPr>
                      <w:color w:val="000000"/>
                      <w:highlight w:val="none"/>
                    </w:rPr>
                    <w:t>本项目</w:t>
                  </w:r>
                  <w:r>
                    <w:rPr>
                      <w:rFonts w:hint="eastAsia"/>
                      <w:color w:val="000000"/>
                      <w:highlight w:val="none"/>
                    </w:rPr>
                    <w:t>生活污水排入市政管网进入调兵山市城市污水处</w:t>
                  </w:r>
                </w:p>
                <w:p w14:paraId="0B1C3D1E">
                  <w:pPr>
                    <w:pStyle w:val="80"/>
                    <w:rPr>
                      <w:color w:val="000000"/>
                      <w:highlight w:val="none"/>
                    </w:rPr>
                  </w:pPr>
                  <w:r>
                    <w:rPr>
                      <w:rFonts w:hint="eastAsia"/>
                      <w:color w:val="000000"/>
                      <w:highlight w:val="none"/>
                    </w:rPr>
                    <w:t>理厂</w:t>
                  </w:r>
                  <w:r>
                    <w:rPr>
                      <w:rFonts w:hint="eastAsia"/>
                      <w:color w:val="000000"/>
                      <w:highlight w:val="none"/>
                      <w:lang w:eastAsia="zh-CN"/>
                    </w:rPr>
                    <w:t>。生产废水处理后循环利用不排放</w:t>
                  </w:r>
                  <w:r>
                    <w:rPr>
                      <w:color w:val="000000"/>
                      <w:highlight w:val="none"/>
                    </w:rPr>
                    <w:t>。</w:t>
                  </w:r>
                </w:p>
              </w:tc>
              <w:tc>
                <w:tcPr>
                  <w:tcW w:w="869" w:type="pct"/>
                  <w:noWrap w:val="0"/>
                  <w:vAlign w:val="center"/>
                </w:tcPr>
                <w:p w14:paraId="3FC76756">
                  <w:pPr>
                    <w:pStyle w:val="80"/>
                    <w:rPr>
                      <w:color w:val="000000"/>
                      <w:highlight w:val="none"/>
                    </w:rPr>
                  </w:pPr>
                  <w:r>
                    <w:rPr>
                      <w:color w:val="000000"/>
                      <w:highlight w:val="none"/>
                    </w:rPr>
                    <w:t>无需设置</w:t>
                  </w:r>
                </w:p>
              </w:tc>
            </w:tr>
            <w:tr w14:paraId="4A9476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524" w:type="pct"/>
                  <w:noWrap w:val="0"/>
                  <w:vAlign w:val="center"/>
                </w:tcPr>
                <w:p w14:paraId="003BC6C3">
                  <w:pPr>
                    <w:pStyle w:val="80"/>
                    <w:rPr>
                      <w:color w:val="000000"/>
                      <w:highlight w:val="none"/>
                    </w:rPr>
                  </w:pPr>
                  <w:r>
                    <w:rPr>
                      <w:color w:val="000000"/>
                      <w:highlight w:val="none"/>
                    </w:rPr>
                    <w:t>地下水环境</w:t>
                  </w:r>
                </w:p>
              </w:tc>
              <w:tc>
                <w:tcPr>
                  <w:tcW w:w="1754" w:type="pct"/>
                  <w:noWrap w:val="0"/>
                  <w:vAlign w:val="center"/>
                </w:tcPr>
                <w:p w14:paraId="35A90C54">
                  <w:pPr>
                    <w:pStyle w:val="80"/>
                    <w:rPr>
                      <w:color w:val="000000"/>
                      <w:highlight w:val="none"/>
                    </w:rPr>
                  </w:pPr>
                  <w:r>
                    <w:rPr>
                      <w:color w:val="000000"/>
                      <w:highlight w:val="none"/>
                    </w:rPr>
                    <w:t>涉及集中式饮用水水源和热水、矿泉水、温泉等特殊地下水资源保护区。</w:t>
                  </w:r>
                </w:p>
              </w:tc>
              <w:tc>
                <w:tcPr>
                  <w:tcW w:w="1852" w:type="pct"/>
                  <w:noWrap w:val="0"/>
                  <w:vAlign w:val="center"/>
                </w:tcPr>
                <w:p w14:paraId="5DE1CA89">
                  <w:pPr>
                    <w:pStyle w:val="80"/>
                    <w:rPr>
                      <w:color w:val="000000"/>
                      <w:highlight w:val="none"/>
                    </w:rPr>
                  </w:pPr>
                  <w:r>
                    <w:rPr>
                      <w:color w:val="000000"/>
                      <w:highlight w:val="none"/>
                    </w:rPr>
                    <w:t>本项目不涉及集中式饮用水水源和热水、矿泉水、温泉等特殊地下水资源保护区。</w:t>
                  </w:r>
                </w:p>
              </w:tc>
              <w:tc>
                <w:tcPr>
                  <w:tcW w:w="869" w:type="pct"/>
                  <w:noWrap w:val="0"/>
                  <w:vAlign w:val="center"/>
                </w:tcPr>
                <w:p w14:paraId="794B5A26">
                  <w:pPr>
                    <w:pStyle w:val="80"/>
                    <w:rPr>
                      <w:color w:val="000000"/>
                      <w:highlight w:val="none"/>
                    </w:rPr>
                  </w:pPr>
                  <w:r>
                    <w:rPr>
                      <w:color w:val="000000"/>
                      <w:highlight w:val="none"/>
                    </w:rPr>
                    <w:t>无需设置</w:t>
                  </w:r>
                </w:p>
              </w:tc>
            </w:tr>
            <w:tr w14:paraId="43FBA7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24" w:type="pct"/>
                  <w:noWrap w:val="0"/>
                  <w:vAlign w:val="center"/>
                </w:tcPr>
                <w:p w14:paraId="450C18B1">
                  <w:pPr>
                    <w:pStyle w:val="80"/>
                    <w:rPr>
                      <w:color w:val="000000"/>
                      <w:highlight w:val="none"/>
                    </w:rPr>
                  </w:pPr>
                  <w:r>
                    <w:rPr>
                      <w:color w:val="000000"/>
                      <w:highlight w:val="none"/>
                    </w:rPr>
                    <w:t>生态环境</w:t>
                  </w:r>
                </w:p>
              </w:tc>
              <w:tc>
                <w:tcPr>
                  <w:tcW w:w="1754" w:type="pct"/>
                  <w:noWrap w:val="0"/>
                  <w:vAlign w:val="center"/>
                </w:tcPr>
                <w:p w14:paraId="63B0EA0F">
                  <w:pPr>
                    <w:pStyle w:val="80"/>
                    <w:rPr>
                      <w:color w:val="000000"/>
                      <w:highlight w:val="none"/>
                    </w:rPr>
                  </w:pPr>
                  <w:r>
                    <w:rPr>
                      <w:color w:val="000000"/>
                      <w:highlight w:val="none"/>
                    </w:rPr>
                    <w:t>取水口下游 500 米范围内有重要水生生物的自然产卵场、索饵场、越冬场和洄游通道的新增河道取水的污染类建设项目。</w:t>
                  </w:r>
                </w:p>
              </w:tc>
              <w:tc>
                <w:tcPr>
                  <w:tcW w:w="1852" w:type="pct"/>
                  <w:noWrap w:val="0"/>
                  <w:vAlign w:val="center"/>
                </w:tcPr>
                <w:p w14:paraId="424BBBCA">
                  <w:pPr>
                    <w:pStyle w:val="80"/>
                    <w:rPr>
                      <w:color w:val="000000"/>
                      <w:highlight w:val="none"/>
                    </w:rPr>
                  </w:pPr>
                  <w:r>
                    <w:rPr>
                      <w:color w:val="000000"/>
                      <w:highlight w:val="none"/>
                    </w:rPr>
                    <w:t>本项目</w:t>
                  </w:r>
                  <w:r>
                    <w:rPr>
                      <w:rFonts w:hint="eastAsia"/>
                      <w:color w:val="000000"/>
                      <w:highlight w:val="none"/>
                      <w:lang w:eastAsia="zh-CN"/>
                    </w:rPr>
                    <w:t>用水来自于市政管网，不设置取水口。</w:t>
                  </w:r>
                </w:p>
              </w:tc>
              <w:tc>
                <w:tcPr>
                  <w:tcW w:w="869" w:type="pct"/>
                  <w:noWrap w:val="0"/>
                  <w:vAlign w:val="center"/>
                </w:tcPr>
                <w:p w14:paraId="0FCEB6E9">
                  <w:pPr>
                    <w:pStyle w:val="80"/>
                    <w:rPr>
                      <w:color w:val="000000"/>
                      <w:highlight w:val="none"/>
                    </w:rPr>
                  </w:pPr>
                  <w:r>
                    <w:rPr>
                      <w:color w:val="000000"/>
                      <w:highlight w:val="none"/>
                    </w:rPr>
                    <w:t>无需设置</w:t>
                  </w:r>
                </w:p>
              </w:tc>
            </w:tr>
            <w:tr w14:paraId="36139B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24" w:type="pct"/>
                  <w:noWrap w:val="0"/>
                  <w:vAlign w:val="center"/>
                </w:tcPr>
                <w:p w14:paraId="7E405EF7">
                  <w:pPr>
                    <w:pStyle w:val="80"/>
                    <w:rPr>
                      <w:rFonts w:cs="Times New Roman"/>
                      <w:color w:val="000000"/>
                      <w:highlight w:val="none"/>
                    </w:rPr>
                  </w:pPr>
                  <w:r>
                    <w:rPr>
                      <w:rFonts w:cs="Times New Roman"/>
                      <w:color w:val="000000"/>
                      <w:highlight w:val="none"/>
                    </w:rPr>
                    <w:t>环境风险</w:t>
                  </w:r>
                </w:p>
              </w:tc>
              <w:tc>
                <w:tcPr>
                  <w:tcW w:w="1754" w:type="pct"/>
                  <w:noWrap w:val="0"/>
                  <w:vAlign w:val="center"/>
                </w:tcPr>
                <w:p w14:paraId="5C325AAB">
                  <w:pPr>
                    <w:pStyle w:val="80"/>
                    <w:rPr>
                      <w:rFonts w:cs="Times New Roman"/>
                      <w:color w:val="000000"/>
                      <w:highlight w:val="none"/>
                    </w:rPr>
                  </w:pPr>
                  <w:r>
                    <w:rPr>
                      <w:rFonts w:cs="Times New Roman"/>
                      <w:color w:val="000000"/>
                      <w:highlight w:val="none"/>
                    </w:rPr>
                    <w:t>有毒有害和易燃易爆危险物质存储量超过临界量的建设项目</w:t>
                  </w:r>
                </w:p>
              </w:tc>
              <w:tc>
                <w:tcPr>
                  <w:tcW w:w="1852" w:type="pct"/>
                  <w:noWrap w:val="0"/>
                  <w:vAlign w:val="center"/>
                </w:tcPr>
                <w:p w14:paraId="44038FDC">
                  <w:pPr>
                    <w:pStyle w:val="80"/>
                    <w:rPr>
                      <w:rFonts w:cs="Times New Roman"/>
                      <w:color w:val="000000"/>
                      <w:highlight w:val="none"/>
                    </w:rPr>
                  </w:pPr>
                  <w:r>
                    <w:rPr>
                      <w:rFonts w:cs="Times New Roman"/>
                      <w:color w:val="000000"/>
                      <w:highlight w:val="none"/>
                    </w:rPr>
                    <w:t>本项目不涉及有毒有害和易燃易爆危险物质储存。</w:t>
                  </w:r>
                </w:p>
              </w:tc>
              <w:tc>
                <w:tcPr>
                  <w:tcW w:w="869" w:type="pct"/>
                  <w:noWrap w:val="0"/>
                  <w:vAlign w:val="center"/>
                </w:tcPr>
                <w:p w14:paraId="4DF98ECF">
                  <w:pPr>
                    <w:pStyle w:val="80"/>
                    <w:rPr>
                      <w:rFonts w:cs="Times New Roman"/>
                      <w:color w:val="000000"/>
                      <w:highlight w:val="none"/>
                    </w:rPr>
                  </w:pPr>
                  <w:r>
                    <w:rPr>
                      <w:rFonts w:cs="Times New Roman"/>
                      <w:color w:val="000000"/>
                      <w:highlight w:val="none"/>
                    </w:rPr>
                    <w:t>无需设置</w:t>
                  </w:r>
                </w:p>
              </w:tc>
            </w:tr>
          </w:tbl>
          <w:p w14:paraId="7F9AD490">
            <w:pPr>
              <w:pStyle w:val="1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kern w:val="0"/>
                <w:sz w:val="24"/>
                <w:szCs w:val="24"/>
              </w:rPr>
            </w:pPr>
            <w:r>
              <w:rPr>
                <w:rFonts w:hint="eastAsia"/>
                <w:sz w:val="24"/>
                <w:szCs w:val="24"/>
              </w:rPr>
              <w:t>由上表可知，本项目按照报告表编制指南要求无需开展专项评价。</w:t>
            </w:r>
          </w:p>
        </w:tc>
      </w:tr>
      <w:tr w14:paraId="7637B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35" w:type="dxa"/>
            <w:noWrap w:val="0"/>
            <w:vAlign w:val="center"/>
          </w:tcPr>
          <w:p w14:paraId="540A14BF">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8129" w:type="dxa"/>
            <w:gridSpan w:val="3"/>
            <w:noWrap w:val="0"/>
            <w:vAlign w:val="center"/>
          </w:tcPr>
          <w:p w14:paraId="15CB26C5">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规划名称：《沈铁工业走廊调兵山工业园区城南园区总体规划》</w:t>
            </w:r>
            <w:r>
              <w:rPr>
                <w:rFonts w:hint="eastAsia" w:cs="Times New Roman"/>
                <w:color w:val="auto"/>
                <w:kern w:val="0"/>
                <w:sz w:val="24"/>
                <w:szCs w:val="24"/>
                <w:lang w:val="en-US" w:eastAsia="zh-CN" w:bidi="ar-SA"/>
              </w:rPr>
              <w:t>；</w:t>
            </w:r>
          </w:p>
          <w:p w14:paraId="7DD2CCD0">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编制单位：辽宁省城乡建设规划设计院</w:t>
            </w:r>
            <w:r>
              <w:rPr>
                <w:rFonts w:hint="eastAsia" w:cs="Times New Roman"/>
                <w:color w:val="auto"/>
                <w:kern w:val="0"/>
                <w:sz w:val="24"/>
                <w:szCs w:val="24"/>
                <w:lang w:val="en-US" w:eastAsia="zh-CN" w:bidi="ar-SA"/>
              </w:rPr>
              <w:t>；</w:t>
            </w:r>
          </w:p>
          <w:p w14:paraId="5C8D9ED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审批机关与文号：无</w:t>
            </w:r>
          </w:p>
        </w:tc>
      </w:tr>
      <w:tr w14:paraId="14CD8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535" w:type="dxa"/>
            <w:noWrap w:val="0"/>
            <w:vAlign w:val="center"/>
          </w:tcPr>
          <w:p w14:paraId="26E4E5B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73E98F88">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8129" w:type="dxa"/>
            <w:gridSpan w:val="3"/>
            <w:noWrap w:val="0"/>
            <w:vAlign w:val="center"/>
          </w:tcPr>
          <w:p w14:paraId="6E6D4B41">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规划环境影响评价名称：《沈铁工业走廊调兵山工业园区城南园区总体规划环境影响报告书》</w:t>
            </w:r>
          </w:p>
          <w:p w14:paraId="663B0E8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召集审查机关：辽宁省环境保护</w:t>
            </w:r>
            <w:r>
              <w:rPr>
                <w:rFonts w:hint="eastAsia" w:cs="Times New Roman"/>
                <w:color w:val="auto"/>
                <w:kern w:val="0"/>
                <w:sz w:val="24"/>
                <w:szCs w:val="24"/>
                <w:lang w:val="en-US" w:eastAsia="zh-CN" w:bidi="ar-SA"/>
              </w:rPr>
              <w:t>局</w:t>
            </w:r>
          </w:p>
          <w:p w14:paraId="2C3BD6F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审查文件名称：《关于沈铁工业走廊调兵山工业园区城南园区总体规划环境影响报告书审查意见的函》</w:t>
            </w:r>
          </w:p>
          <w:p w14:paraId="17049A7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审查文件文号：辽环函[2007]316号</w:t>
            </w:r>
          </w:p>
        </w:tc>
      </w:tr>
      <w:tr w14:paraId="44FEE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35" w:type="dxa"/>
            <w:noWrap w:val="0"/>
            <w:vAlign w:val="center"/>
          </w:tcPr>
          <w:p w14:paraId="70790614">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8129" w:type="dxa"/>
            <w:gridSpan w:val="3"/>
            <w:noWrap w:val="0"/>
            <w:vAlign w:val="center"/>
          </w:tcPr>
          <w:p w14:paraId="7E0912E7">
            <w:pPr>
              <w:keepNext w:val="0"/>
              <w:keepLines w:val="0"/>
              <w:pageBreakBefore w:val="0"/>
              <w:widowControl/>
              <w:suppressLineNumbers w:val="0"/>
              <w:kinsoku/>
              <w:wordWrap/>
              <w:overflowPunct/>
              <w:topLinePunct w:val="0"/>
              <w:bidi w:val="0"/>
              <w:adjustRightInd w:val="0"/>
              <w:snapToGrid w:val="0"/>
              <w:spacing w:line="360" w:lineRule="auto"/>
              <w:jc w:val="left"/>
              <w:textAlignment w:val="auto"/>
            </w:pPr>
            <w:r>
              <w:rPr>
                <w:rFonts w:hint="eastAsia" w:ascii="宋体" w:hAnsi="宋体" w:eastAsia="宋体" w:cs="宋体"/>
                <w:b/>
                <w:bCs/>
                <w:color w:val="000000"/>
                <w:kern w:val="0"/>
                <w:sz w:val="24"/>
                <w:szCs w:val="24"/>
                <w:lang w:val="en-US" w:eastAsia="zh-CN" w:bidi="ar"/>
              </w:rPr>
              <w:t xml:space="preserve">一、与《沈铁工业走廊调兵山工业园区总体规划》相符性分析 </w:t>
            </w:r>
          </w:p>
          <w:p w14:paraId="44C8754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本项目与《沈铁工业走廊调兵山工业园区城南园区总体规划》相符性分析详见下表</w:t>
            </w:r>
            <w:r>
              <w:rPr>
                <w:rFonts w:hint="default" w:ascii="Times New Roman" w:hAnsi="Times New Roman" w:eastAsia="宋体" w:cs="Times New Roman"/>
                <w:color w:val="auto"/>
                <w:kern w:val="0"/>
                <w:sz w:val="24"/>
                <w:szCs w:val="24"/>
                <w:lang w:val="en-US" w:eastAsia="zh-CN" w:bidi="ar-SA"/>
              </w:rPr>
              <w:t>1-2</w:t>
            </w:r>
            <w:r>
              <w:rPr>
                <w:rFonts w:hint="eastAsia" w:ascii="Times New Roman" w:hAnsi="Times New Roman" w:eastAsia="宋体" w:cs="Times New Roman"/>
                <w:color w:val="auto"/>
                <w:kern w:val="0"/>
                <w:sz w:val="24"/>
                <w:szCs w:val="24"/>
                <w:lang w:val="en-US" w:eastAsia="zh-CN" w:bidi="ar-SA"/>
              </w:rPr>
              <w:t xml:space="preserve">。 </w:t>
            </w:r>
          </w:p>
          <w:p w14:paraId="11DC7A27">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表</w:t>
            </w:r>
            <w:r>
              <w:rPr>
                <w:rFonts w:hint="default" w:ascii="Times New Roman" w:hAnsi="Times New Roman" w:eastAsia="宋体" w:cs="Times New Roman"/>
                <w:b/>
                <w:bCs/>
                <w:color w:val="000000"/>
                <w:kern w:val="0"/>
                <w:sz w:val="20"/>
                <w:szCs w:val="20"/>
                <w:lang w:val="en-US" w:eastAsia="zh-CN" w:bidi="ar"/>
              </w:rPr>
              <w:t xml:space="preserve">1-2 </w:t>
            </w:r>
            <w:r>
              <w:rPr>
                <w:rFonts w:hint="eastAsia" w:ascii="宋体" w:hAnsi="宋体" w:eastAsia="宋体" w:cs="宋体"/>
                <w:b/>
                <w:bCs/>
                <w:color w:val="000000"/>
                <w:kern w:val="0"/>
                <w:sz w:val="20"/>
                <w:szCs w:val="20"/>
                <w:lang w:val="en-US" w:eastAsia="zh-CN" w:bidi="ar"/>
              </w:rPr>
              <w:t>项目与《沈铁工业走廊调兵山工业园区城南园区总体规划</w:t>
            </w:r>
            <w:r>
              <w:rPr>
                <w:rFonts w:hint="eastAsia" w:ascii="宋体" w:hAnsi="宋体" w:eastAsia="宋体" w:cs="宋体"/>
                <w:color w:val="000000"/>
                <w:kern w:val="0"/>
                <w:sz w:val="20"/>
                <w:szCs w:val="20"/>
                <w:lang w:val="en-US" w:eastAsia="zh-CN" w:bidi="ar"/>
              </w:rPr>
              <w:t>》</w:t>
            </w:r>
            <w:r>
              <w:rPr>
                <w:rFonts w:hint="eastAsia" w:ascii="宋体" w:hAnsi="宋体" w:eastAsia="宋体" w:cs="宋体"/>
                <w:b/>
                <w:bCs/>
                <w:color w:val="000000"/>
                <w:kern w:val="0"/>
                <w:sz w:val="20"/>
                <w:szCs w:val="20"/>
                <w:lang w:val="en-US" w:eastAsia="zh-CN" w:bidi="ar"/>
              </w:rPr>
              <w:t>相符性分析一览表</w:t>
            </w:r>
          </w:p>
          <w:tbl>
            <w:tblPr>
              <w:tblStyle w:val="19"/>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71"/>
              <w:gridCol w:w="2337"/>
              <w:gridCol w:w="996"/>
            </w:tblGrid>
            <w:tr w14:paraId="6802D9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1" w:type="dxa"/>
                  <w:noWrap w:val="0"/>
                  <w:vAlign w:val="center"/>
                </w:tcPr>
                <w:p w14:paraId="1D28B358">
                  <w:pPr>
                    <w:pStyle w:val="80"/>
                    <w:ind w:firstLine="0" w:firstLineChars="0"/>
                    <w:jc w:val="center"/>
                    <w:rPr>
                      <w:color w:val="000000"/>
                      <w:highlight w:val="none"/>
                    </w:rPr>
                  </w:pPr>
                  <w:r>
                    <w:rPr>
                      <w:rFonts w:cs="Times New Roman"/>
                      <w:color w:val="000000"/>
                      <w:highlight w:val="none"/>
                    </w:rPr>
                    <w:t>规划要求</w:t>
                  </w:r>
                </w:p>
              </w:tc>
              <w:tc>
                <w:tcPr>
                  <w:tcW w:w="2337" w:type="dxa"/>
                  <w:noWrap w:val="0"/>
                  <w:vAlign w:val="center"/>
                </w:tcPr>
                <w:p w14:paraId="2EB5D73B">
                  <w:pPr>
                    <w:pStyle w:val="80"/>
                    <w:ind w:firstLine="0" w:firstLineChars="0"/>
                    <w:jc w:val="center"/>
                    <w:rPr>
                      <w:color w:val="000000"/>
                      <w:highlight w:val="none"/>
                    </w:rPr>
                  </w:pPr>
                  <w:r>
                    <w:rPr>
                      <w:rFonts w:cs="Times New Roman"/>
                      <w:color w:val="000000"/>
                      <w:highlight w:val="none"/>
                    </w:rPr>
                    <w:t>本项目</w:t>
                  </w:r>
                </w:p>
              </w:tc>
              <w:tc>
                <w:tcPr>
                  <w:tcW w:w="996" w:type="dxa"/>
                  <w:noWrap w:val="0"/>
                  <w:vAlign w:val="center"/>
                </w:tcPr>
                <w:p w14:paraId="3C592FC4">
                  <w:pPr>
                    <w:pStyle w:val="80"/>
                    <w:ind w:firstLine="0" w:firstLineChars="0"/>
                    <w:jc w:val="center"/>
                    <w:rPr>
                      <w:color w:val="000000"/>
                      <w:highlight w:val="none"/>
                    </w:rPr>
                  </w:pPr>
                  <w:r>
                    <w:rPr>
                      <w:rFonts w:cs="Times New Roman"/>
                      <w:color w:val="000000"/>
                      <w:highlight w:val="none"/>
                    </w:rPr>
                    <w:t>符合性分析</w:t>
                  </w:r>
                </w:p>
              </w:tc>
            </w:tr>
            <w:tr w14:paraId="341FB2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571" w:type="dxa"/>
                  <w:noWrap w:val="0"/>
                  <w:vAlign w:val="center"/>
                </w:tcPr>
                <w:p w14:paraId="1090D706">
                  <w:pPr>
                    <w:pStyle w:val="80"/>
                    <w:jc w:val="center"/>
                    <w:rPr>
                      <w:color w:val="000000"/>
                      <w:highlight w:val="none"/>
                    </w:rPr>
                  </w:pPr>
                  <w:r>
                    <w:rPr>
                      <w:rFonts w:cs="Times New Roman"/>
                      <w:color w:val="000000"/>
                      <w:highlight w:val="none"/>
                    </w:rPr>
                    <w:t>规划形成“两片、三心、四组团”的空间结构。两片：调兵山工业区在空间上规划为北部工业区和城南开发区两个片区。其中北部工业区面积为4.8平方公里，城南开发区面积为13.2平方公里。总面积为18平方公里。三心：是指南北两个工业片区的公共服务中心。四组团：是指南北两个工业片区的工业组团和居住组团。新梨公路由南向北贯穿通过，成为南北片区与调兵山市区及外部联系的纽带；中央大街和生态路是主要的景观轴线。</w:t>
                  </w:r>
                </w:p>
              </w:tc>
              <w:tc>
                <w:tcPr>
                  <w:tcW w:w="2337" w:type="dxa"/>
                  <w:noWrap w:val="0"/>
                  <w:vAlign w:val="center"/>
                </w:tcPr>
                <w:p w14:paraId="372935AD">
                  <w:pPr>
                    <w:pStyle w:val="80"/>
                    <w:ind w:firstLine="0" w:firstLineChars="0"/>
                    <w:jc w:val="both"/>
                    <w:rPr>
                      <w:color w:val="000000"/>
                      <w:highlight w:val="none"/>
                    </w:rPr>
                  </w:pPr>
                  <w:r>
                    <w:rPr>
                      <w:rFonts w:cs="Times New Roman"/>
                      <w:color w:val="000000"/>
                      <w:highlight w:val="none"/>
                    </w:rPr>
                    <w:t>本项目位于调兵山市城南经济开发区，用地性质为工业用地。土地证明详见附件3。</w:t>
                  </w:r>
                </w:p>
              </w:tc>
              <w:tc>
                <w:tcPr>
                  <w:tcW w:w="996" w:type="dxa"/>
                  <w:noWrap w:val="0"/>
                  <w:vAlign w:val="center"/>
                </w:tcPr>
                <w:p w14:paraId="3CA9084F">
                  <w:pPr>
                    <w:pStyle w:val="80"/>
                    <w:ind w:firstLine="0" w:firstLineChars="0"/>
                    <w:jc w:val="center"/>
                    <w:rPr>
                      <w:color w:val="000000"/>
                      <w:highlight w:val="none"/>
                    </w:rPr>
                  </w:pPr>
                  <w:r>
                    <w:rPr>
                      <w:rFonts w:cs="Times New Roman"/>
                      <w:color w:val="000000"/>
                      <w:highlight w:val="none"/>
                    </w:rPr>
                    <w:t>与规划相符</w:t>
                  </w:r>
                </w:p>
              </w:tc>
            </w:tr>
            <w:tr w14:paraId="3FE3D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571" w:type="dxa"/>
                  <w:noWrap w:val="0"/>
                  <w:vAlign w:val="center"/>
                </w:tcPr>
                <w:p w14:paraId="4AB1D6E3">
                  <w:pPr>
                    <w:pStyle w:val="80"/>
                    <w:ind w:firstLine="0" w:firstLineChars="0"/>
                    <w:jc w:val="center"/>
                    <w:rPr>
                      <w:color w:val="000000"/>
                      <w:highlight w:val="none"/>
                    </w:rPr>
                  </w:pPr>
                  <w:r>
                    <w:rPr>
                      <w:rFonts w:cs="Times New Roman"/>
                      <w:color w:val="000000"/>
                      <w:highlight w:val="none"/>
                    </w:rPr>
                    <w:t>城南开发区位于城区的南部，主要安排一类工业；区内布置了调兵山市次级公共服务中心；生态路两侧规划带状商业用地；调兵山大街西侧规划居住用地；新梨公路的西侧规划仓储物流中心。</w:t>
                  </w:r>
                </w:p>
              </w:tc>
              <w:tc>
                <w:tcPr>
                  <w:tcW w:w="2337" w:type="dxa"/>
                  <w:noWrap w:val="0"/>
                  <w:vAlign w:val="center"/>
                </w:tcPr>
                <w:p w14:paraId="573D33C8">
                  <w:pPr>
                    <w:pStyle w:val="80"/>
                    <w:ind w:firstLine="0" w:firstLineChars="0"/>
                    <w:jc w:val="center"/>
                    <w:rPr>
                      <w:color w:val="000000"/>
                      <w:highlight w:val="none"/>
                    </w:rPr>
                  </w:pPr>
                  <w:r>
                    <w:rPr>
                      <w:rFonts w:cs="Times New Roman"/>
                      <w:color w:val="000000"/>
                      <w:highlight w:val="none"/>
                    </w:rPr>
                    <w:t>本项目属于</w:t>
                  </w:r>
                  <w:r>
                    <w:rPr>
                      <w:rFonts w:hint="eastAsia" w:cs="Times New Roman"/>
                      <w:color w:val="000000"/>
                      <w:highlight w:val="none"/>
                      <w:lang w:eastAsia="zh-CN"/>
                    </w:rPr>
                    <w:t>特种玻璃制造。</w:t>
                  </w:r>
                  <w:r>
                    <w:rPr>
                      <w:rFonts w:cs="Times New Roman"/>
                      <w:color w:val="000000"/>
                      <w:highlight w:val="none"/>
                    </w:rPr>
                    <w:t>位于调兵山市城南经济开发区，用地性质为工业用地；满足规划布局需求。</w:t>
                  </w:r>
                </w:p>
              </w:tc>
              <w:tc>
                <w:tcPr>
                  <w:tcW w:w="996" w:type="dxa"/>
                  <w:noWrap w:val="0"/>
                  <w:vAlign w:val="center"/>
                </w:tcPr>
                <w:p w14:paraId="02BFAC16">
                  <w:pPr>
                    <w:pStyle w:val="80"/>
                    <w:ind w:firstLine="0" w:firstLineChars="0"/>
                    <w:jc w:val="center"/>
                    <w:rPr>
                      <w:color w:val="000000"/>
                      <w:highlight w:val="none"/>
                    </w:rPr>
                  </w:pPr>
                  <w:r>
                    <w:rPr>
                      <w:rFonts w:cs="Times New Roman"/>
                      <w:color w:val="000000"/>
                      <w:highlight w:val="none"/>
                    </w:rPr>
                    <w:t>与规划相符</w:t>
                  </w:r>
                </w:p>
              </w:tc>
            </w:tr>
            <w:tr w14:paraId="29EC52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4571" w:type="dxa"/>
                  <w:noWrap w:val="0"/>
                  <w:vAlign w:val="center"/>
                </w:tcPr>
                <w:p w14:paraId="1637BE44">
                  <w:pPr>
                    <w:pStyle w:val="80"/>
                    <w:ind w:firstLine="0" w:firstLineChars="0"/>
                    <w:jc w:val="both"/>
                    <w:rPr>
                      <w:color w:val="000000"/>
                      <w:highlight w:val="none"/>
                    </w:rPr>
                  </w:pPr>
                  <w:r>
                    <w:rPr>
                      <w:rFonts w:cs="Times New Roman"/>
                      <w:color w:val="000000"/>
                      <w:highlight w:val="none"/>
                    </w:rPr>
                    <w:t>调兵山工业区的产业是以煤电、农副产品加工、装备制造及配套加工产业为主，建立严格的产业准入制度。以组团式</w:t>
                  </w:r>
                  <w:r>
                    <w:rPr>
                      <w:rFonts w:hint="eastAsia" w:cs="Times New Roman"/>
                      <w:color w:val="000000"/>
                      <w:highlight w:val="none"/>
                    </w:rPr>
                    <w:t>发展为模式。城南开发区规划工业用地393公顷，以高科技产业、食品加工产业、装备制造及配套加工产业为主，原则上规划控制三类工业企业的进驻。规划工业用地总面积为623公顷，占工业区建设用地的34.6%。</w:t>
                  </w:r>
                </w:p>
              </w:tc>
              <w:tc>
                <w:tcPr>
                  <w:tcW w:w="2337" w:type="dxa"/>
                  <w:noWrap w:val="0"/>
                  <w:vAlign w:val="center"/>
                </w:tcPr>
                <w:p w14:paraId="39232F6A">
                  <w:pPr>
                    <w:pStyle w:val="80"/>
                    <w:ind w:firstLine="0" w:firstLineChars="0"/>
                    <w:jc w:val="center"/>
                    <w:rPr>
                      <w:color w:val="000000"/>
                      <w:highlight w:val="none"/>
                    </w:rPr>
                  </w:pPr>
                  <w:r>
                    <w:rPr>
                      <w:rFonts w:cs="Times New Roman"/>
                      <w:color w:val="000000"/>
                      <w:highlight w:val="none"/>
                    </w:rPr>
                    <w:t>本项目属于</w:t>
                  </w:r>
                  <w:r>
                    <w:rPr>
                      <w:rFonts w:hint="eastAsia" w:cs="Times New Roman"/>
                      <w:color w:val="000000"/>
                      <w:highlight w:val="none"/>
                      <w:lang w:eastAsia="zh-CN"/>
                    </w:rPr>
                    <w:t>特种玻璃</w:t>
                  </w:r>
                  <w:r>
                    <w:rPr>
                      <w:rFonts w:cs="Times New Roman"/>
                      <w:color w:val="000000"/>
                      <w:highlight w:val="none"/>
                    </w:rPr>
                    <w:t>制造业，产品为</w:t>
                  </w:r>
                  <w:r>
                    <w:rPr>
                      <w:rFonts w:hint="eastAsia" w:cs="Times New Roman"/>
                      <w:color w:val="000000"/>
                      <w:highlight w:val="none"/>
                      <w:lang w:eastAsia="zh-CN"/>
                    </w:rPr>
                    <w:t>钢化玻璃与中空玻璃，不属于工业园区准入负面清单内容，已取得调兵山经济开发区管理委员会立项文件，见附件</w:t>
                  </w:r>
                  <w:r>
                    <w:rPr>
                      <w:rFonts w:hint="eastAsia" w:cs="Times New Roman"/>
                      <w:color w:val="000000"/>
                      <w:highlight w:val="none"/>
                      <w:lang w:val="en-US" w:eastAsia="zh-CN"/>
                    </w:rPr>
                    <w:t>2。</w:t>
                  </w:r>
                </w:p>
              </w:tc>
              <w:tc>
                <w:tcPr>
                  <w:tcW w:w="996" w:type="dxa"/>
                  <w:noWrap w:val="0"/>
                  <w:vAlign w:val="center"/>
                </w:tcPr>
                <w:p w14:paraId="16BB17EA">
                  <w:pPr>
                    <w:pStyle w:val="80"/>
                    <w:jc w:val="center"/>
                    <w:rPr>
                      <w:rFonts w:cs="Times New Roman"/>
                      <w:color w:val="000000"/>
                      <w:highlight w:val="none"/>
                    </w:rPr>
                  </w:pPr>
                </w:p>
                <w:p w14:paraId="0D9ED333">
                  <w:pPr>
                    <w:pStyle w:val="80"/>
                    <w:ind w:firstLine="0" w:firstLineChars="0"/>
                    <w:jc w:val="center"/>
                    <w:rPr>
                      <w:color w:val="000000"/>
                      <w:highlight w:val="none"/>
                    </w:rPr>
                  </w:pPr>
                  <w:r>
                    <w:rPr>
                      <w:rFonts w:cs="Times New Roman"/>
                      <w:color w:val="000000"/>
                      <w:highlight w:val="none"/>
                    </w:rPr>
                    <w:t>与规划相符</w:t>
                  </w:r>
                </w:p>
              </w:tc>
            </w:tr>
            <w:tr w14:paraId="031C81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571" w:type="dxa"/>
                  <w:noWrap w:val="0"/>
                  <w:vAlign w:val="center"/>
                </w:tcPr>
                <w:p w14:paraId="77F1C108">
                  <w:pPr>
                    <w:pStyle w:val="80"/>
                    <w:ind w:firstLine="0" w:firstLineChars="0"/>
                    <w:jc w:val="both"/>
                    <w:rPr>
                      <w:color w:val="000000"/>
                      <w:highlight w:val="none"/>
                    </w:rPr>
                  </w:pPr>
                  <w:r>
                    <w:rPr>
                      <w:rFonts w:hint="default" w:cs="Times New Roman"/>
                      <w:color w:val="000000"/>
                      <w:highlight w:val="none"/>
                    </w:rPr>
                    <w:t>给水工程规划：3 、工业区供水由调兵山市城区供水水源供水。调兵山市要增加新水源或扩大现有水源的规模（可取柴河水库水作为工业区供水水源，需经勘察后确定），要扩大现有供水厂的规模。4、用水量大的公建要考虑中水回用，新建工业要发展高科技、低能耗、节水型工业，要提高工业用水的重复利用率。5、给水管网采用环状管网与枝状管网相结合的布置方式，近期以枝状为主，远期逐步连成环网。7、消防采用低压供水系统，与工业区给水采用同一管道，在给水管道上设置地埋式消火栓，消火栓间距不大于120m。</w:t>
                  </w:r>
                </w:p>
              </w:tc>
              <w:tc>
                <w:tcPr>
                  <w:tcW w:w="2337" w:type="dxa"/>
                  <w:noWrap w:val="0"/>
                  <w:vAlign w:val="center"/>
                </w:tcPr>
                <w:p w14:paraId="73CF4744">
                  <w:pPr>
                    <w:pStyle w:val="81"/>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both"/>
                    <w:textAlignment w:val="auto"/>
                    <w:rPr>
                      <w:color w:val="000000"/>
                      <w:highlight w:val="none"/>
                    </w:rPr>
                  </w:pPr>
                  <w:r>
                    <w:rPr>
                      <w:rFonts w:hint="default" w:ascii="Times New Roman" w:hAnsi="Times New Roman" w:cs="Times New Roman"/>
                      <w:spacing w:val="3"/>
                      <w:sz w:val="21"/>
                      <w:szCs w:val="21"/>
                    </w:rPr>
                    <w:t>本项目</w:t>
                  </w:r>
                  <w:r>
                    <w:rPr>
                      <w:rFonts w:hint="eastAsia" w:ascii="Times New Roman" w:hAnsi="Times New Roman" w:cs="Times New Roman"/>
                      <w:spacing w:val="3"/>
                      <w:sz w:val="21"/>
                      <w:szCs w:val="21"/>
                      <w:lang w:eastAsia="zh-CN"/>
                    </w:rPr>
                    <w:t>采用市政管网供水，</w:t>
                  </w:r>
                  <w:r>
                    <w:rPr>
                      <w:rFonts w:hint="default" w:ascii="Times New Roman" w:hAnsi="Times New Roman" w:cs="Times New Roman"/>
                      <w:spacing w:val="3"/>
                      <w:sz w:val="21"/>
                      <w:szCs w:val="21"/>
                    </w:rPr>
                    <w:t>生</w:t>
                  </w:r>
                  <w:r>
                    <w:rPr>
                      <w:rFonts w:hint="default" w:ascii="Times New Roman" w:hAnsi="Times New Roman" w:cs="Times New Roman"/>
                      <w:spacing w:val="3"/>
                      <w:sz w:val="21"/>
                      <w:szCs w:val="21"/>
                      <w:highlight w:val="none"/>
                    </w:rPr>
                    <w:t>活</w:t>
                  </w:r>
                  <w:r>
                    <w:rPr>
                      <w:rFonts w:hint="eastAsia" w:ascii="Times New Roman" w:hAnsi="Times New Roman" w:cs="Times New Roman"/>
                      <w:spacing w:val="3"/>
                      <w:sz w:val="21"/>
                      <w:szCs w:val="21"/>
                      <w:highlight w:val="none"/>
                      <w:lang w:eastAsia="zh-CN"/>
                    </w:rPr>
                    <w:t>用水</w:t>
                  </w:r>
                  <w:r>
                    <w:rPr>
                      <w:rFonts w:hint="default" w:ascii="Times New Roman" w:hAnsi="Times New Roman" w:cs="Times New Roman"/>
                      <w:spacing w:val="3"/>
                      <w:sz w:val="21"/>
                      <w:szCs w:val="21"/>
                      <w:highlight w:val="none"/>
                      <w:lang w:eastAsia="zh-CN"/>
                    </w:rPr>
                    <w:t>量</w:t>
                  </w:r>
                  <w:r>
                    <w:rPr>
                      <w:rFonts w:hint="default" w:ascii="Times New Roman" w:hAnsi="Times New Roman" w:cs="Times New Roman"/>
                      <w:spacing w:val="3"/>
                      <w:sz w:val="21"/>
                      <w:szCs w:val="21"/>
                      <w:highlight w:val="none"/>
                      <w:lang w:val="en-US" w:eastAsia="zh-CN"/>
                    </w:rPr>
                    <w:t>337.5</w:t>
                  </w:r>
                  <w:r>
                    <w:rPr>
                      <w:rFonts w:hint="default" w:ascii="Times New Roman" w:hAnsi="Times New Roman" w:eastAsia="宋体" w:cs="Times New Roman"/>
                      <w:color w:val="auto"/>
                      <w:kern w:val="2"/>
                      <w:sz w:val="21"/>
                      <w:szCs w:val="21"/>
                      <w:highlight w:val="none"/>
                      <w:lang w:val="en-US" w:eastAsia="zh-CN" w:bidi="ar"/>
                    </w:rPr>
                    <w:t>m</w:t>
                  </w:r>
                  <w:r>
                    <w:rPr>
                      <w:rFonts w:hint="default" w:ascii="Times New Roman" w:hAnsi="Times New Roman" w:eastAsia="宋体" w:cs="Times New Roman"/>
                      <w:color w:val="auto"/>
                      <w:kern w:val="2"/>
                      <w:sz w:val="21"/>
                      <w:szCs w:val="21"/>
                      <w:highlight w:val="none"/>
                      <w:vertAlign w:val="super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/a</w:t>
                  </w:r>
                  <w:r>
                    <w:rPr>
                      <w:rFonts w:hint="default" w:ascii="Times New Roman" w:hAnsi="Times New Roman" w:cs="Times New Roman"/>
                      <w:spacing w:val="3"/>
                      <w:sz w:val="21"/>
                      <w:szCs w:val="21"/>
                      <w:highlight w:val="none"/>
                    </w:rPr>
                    <w:t>，</w:t>
                  </w:r>
                  <w:r>
                    <w:rPr>
                      <w:rFonts w:hint="default" w:ascii="Times New Roman" w:hAnsi="Times New Roman" w:cs="Times New Roman"/>
                      <w:spacing w:val="17"/>
                      <w:sz w:val="21"/>
                      <w:szCs w:val="21"/>
                      <w:highlight w:val="none"/>
                    </w:rPr>
                    <w:t>生产废水</w:t>
                  </w:r>
                  <w:r>
                    <w:rPr>
                      <w:rFonts w:hint="default" w:ascii="Times New Roman" w:hAnsi="Times New Roman" w:cs="Times New Roman"/>
                      <w:spacing w:val="17"/>
                      <w:sz w:val="21"/>
                      <w:szCs w:val="21"/>
                      <w:highlight w:val="none"/>
                      <w:lang w:eastAsia="zh-CN"/>
                    </w:rPr>
                    <w:t>经处理后</w:t>
                  </w:r>
                  <w:r>
                    <w:rPr>
                      <w:rFonts w:hint="default" w:ascii="Times New Roman" w:hAnsi="Times New Roman" w:cs="Times New Roman"/>
                      <w:spacing w:val="2"/>
                      <w:sz w:val="21"/>
                      <w:szCs w:val="21"/>
                      <w:highlight w:val="none"/>
                    </w:rPr>
                    <w:t>循环使</w:t>
                  </w:r>
                  <w:r>
                    <w:rPr>
                      <w:rFonts w:hint="default" w:ascii="Times New Roman" w:hAnsi="Times New Roman" w:cs="Times New Roman"/>
                      <w:spacing w:val="6"/>
                      <w:sz w:val="21"/>
                      <w:szCs w:val="21"/>
                      <w:highlight w:val="none"/>
                    </w:rPr>
                    <w:t>用，年补水</w:t>
                  </w:r>
                  <w:r>
                    <w:rPr>
                      <w:rFonts w:hint="eastAsia" w:ascii="Times New Roman" w:hAnsi="Times New Roman" w:eastAsia="宋体" w:cs="Times New Roman"/>
                      <w:spacing w:val="6"/>
                      <w:sz w:val="21"/>
                      <w:szCs w:val="21"/>
                      <w:highlight w:val="none"/>
                      <w:lang w:val="en-US" w:eastAsia="zh-CN"/>
                    </w:rPr>
                    <w:t>2160</w:t>
                  </w:r>
                  <w:r>
                    <w:rPr>
                      <w:rFonts w:hint="default" w:ascii="Times New Roman" w:hAnsi="Times New Roman" w:eastAsia="宋体" w:cs="Times New Roman"/>
                      <w:color w:val="auto"/>
                      <w:kern w:val="2"/>
                      <w:sz w:val="21"/>
                      <w:szCs w:val="21"/>
                      <w:highlight w:val="none"/>
                      <w:lang w:val="en-US" w:eastAsia="zh-CN" w:bidi="ar"/>
                    </w:rPr>
                    <w:t>m</w:t>
                  </w:r>
                  <w:r>
                    <w:rPr>
                      <w:rFonts w:hint="default" w:ascii="Times New Roman" w:hAnsi="Times New Roman" w:eastAsia="宋体" w:cs="Times New Roman"/>
                      <w:color w:val="auto"/>
                      <w:kern w:val="2"/>
                      <w:sz w:val="21"/>
                      <w:szCs w:val="21"/>
                      <w:highlight w:val="none"/>
                      <w:vertAlign w:val="super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/a</w:t>
                  </w:r>
                  <w:r>
                    <w:rPr>
                      <w:rFonts w:hint="default" w:ascii="Times New Roman" w:hAnsi="Times New Roman" w:cs="Times New Roman"/>
                      <w:spacing w:val="6"/>
                      <w:sz w:val="21"/>
                      <w:szCs w:val="21"/>
                      <w:highlight w:val="none"/>
                    </w:rPr>
                    <w:t>。</w:t>
                  </w:r>
                </w:p>
              </w:tc>
              <w:tc>
                <w:tcPr>
                  <w:tcW w:w="996" w:type="dxa"/>
                  <w:noWrap w:val="0"/>
                  <w:vAlign w:val="center"/>
                </w:tcPr>
                <w:p w14:paraId="35404227">
                  <w:pPr>
                    <w:pStyle w:val="80"/>
                    <w:ind w:firstLine="0" w:firstLineChars="0"/>
                    <w:jc w:val="center"/>
                    <w:rPr>
                      <w:color w:val="000000"/>
                      <w:highlight w:val="none"/>
                    </w:rPr>
                  </w:pPr>
                  <w:r>
                    <w:rPr>
                      <w:rFonts w:cs="Times New Roman"/>
                      <w:color w:val="000000"/>
                      <w:highlight w:val="none"/>
                    </w:rPr>
                    <w:t>与规划相符</w:t>
                  </w:r>
                </w:p>
              </w:tc>
            </w:tr>
            <w:tr w14:paraId="3A108B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571" w:type="dxa"/>
                  <w:noWrap w:val="0"/>
                  <w:vAlign w:val="center"/>
                </w:tcPr>
                <w:p w14:paraId="3FF73636">
                  <w:pPr>
                    <w:pStyle w:val="80"/>
                    <w:ind w:firstLine="0" w:firstLineChars="0"/>
                    <w:jc w:val="center"/>
                    <w:rPr>
                      <w:color w:val="000000"/>
                      <w:highlight w:val="red"/>
                    </w:rPr>
                  </w:pPr>
                  <w:r>
                    <w:rPr>
                      <w:rFonts w:hint="default" w:cs="Times New Roman"/>
                      <w:color w:val="000000"/>
                      <w:highlight w:val="none"/>
                    </w:rPr>
                    <w:t>排水工程规划：3、污水管道根据地形地势，结合规划道路布置。南部工业区污水主干管沿东外环路由北向南铺设，干管垂直于主干管布置，收集的污水送至南部工业区污水处理厂。</w:t>
                  </w:r>
                </w:p>
              </w:tc>
              <w:tc>
                <w:tcPr>
                  <w:tcW w:w="2337" w:type="dxa"/>
                  <w:noWrap w:val="0"/>
                  <w:vAlign w:val="center"/>
                </w:tcPr>
                <w:p w14:paraId="0D8C02CB">
                  <w:pPr>
                    <w:pStyle w:val="80"/>
                    <w:keepNext w:val="0"/>
                    <w:keepLines w:val="0"/>
                    <w:pageBreakBefore w:val="0"/>
                    <w:widowControl w:val="0"/>
                    <w:kinsoku/>
                    <w:wordWrap/>
                    <w:overflowPunct/>
                    <w:topLinePunct w:val="0"/>
                    <w:bidi w:val="0"/>
                    <w:adjustRightInd w:val="0"/>
                    <w:snapToGrid w:val="0"/>
                    <w:spacing w:line="240" w:lineRule="auto"/>
                    <w:ind w:left="0" w:right="0" w:firstLine="0" w:firstLineChars="0"/>
                    <w:jc w:val="both"/>
                    <w:textAlignment w:val="auto"/>
                    <w:rPr>
                      <w:rFonts w:hint="eastAsia" w:eastAsia="宋体"/>
                      <w:color w:val="000000"/>
                      <w:highlight w:val="red"/>
                      <w:lang w:eastAsia="zh-CN"/>
                    </w:rPr>
                  </w:pPr>
                  <w:r>
                    <w:rPr>
                      <w:rFonts w:hint="eastAsia" w:ascii="Times New Roman" w:hAnsi="Times New Roman" w:eastAsia="宋体" w:cs="Times New Roman"/>
                      <w:color w:val="000000"/>
                      <w:highlight w:val="none"/>
                      <w:lang w:val="en-US" w:eastAsia="zh-CN"/>
                    </w:rPr>
                    <w:t>本项目生产废水经处理后循环使用不外排，生活污水排入管网进入调兵山城市污水处理厂。</w:t>
                  </w:r>
                </w:p>
              </w:tc>
              <w:tc>
                <w:tcPr>
                  <w:tcW w:w="996" w:type="dxa"/>
                  <w:noWrap w:val="0"/>
                  <w:vAlign w:val="center"/>
                </w:tcPr>
                <w:p w14:paraId="22DC5153">
                  <w:pPr>
                    <w:pStyle w:val="80"/>
                    <w:ind w:firstLine="0" w:firstLineChars="0"/>
                    <w:jc w:val="center"/>
                    <w:rPr>
                      <w:color w:val="000000"/>
                      <w:highlight w:val="red"/>
                    </w:rPr>
                  </w:pPr>
                  <w:r>
                    <w:rPr>
                      <w:rFonts w:cs="Times New Roman"/>
                      <w:color w:val="000000"/>
                      <w:highlight w:val="none"/>
                    </w:rPr>
                    <w:t>与规划相符</w:t>
                  </w:r>
                </w:p>
              </w:tc>
            </w:tr>
            <w:tr w14:paraId="22C89A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1" w:type="dxa"/>
                  <w:noWrap w:val="0"/>
                  <w:vAlign w:val="center"/>
                </w:tcPr>
                <w:p w14:paraId="18F63C73">
                  <w:pPr>
                    <w:pStyle w:val="80"/>
                    <w:ind w:firstLine="0" w:firstLineChars="0"/>
                    <w:jc w:val="center"/>
                    <w:rPr>
                      <w:color w:val="000000"/>
                      <w:highlight w:val="red"/>
                    </w:rPr>
                  </w:pPr>
                  <w:r>
                    <w:rPr>
                      <w:rFonts w:hint="default" w:cs="Times New Roman"/>
                      <w:color w:val="000000"/>
                      <w:highlight w:val="none"/>
                    </w:rPr>
                    <w:t>城南开发区供热热源1号供热区采暖热负荷为275. 12 MW ，拟建容量为五台58 MW热水锅炉房一座。2号供热区采暖热负荷288.32MW，拟建容量为五台 64 MW高温水锅炉房一座。上述热源厂供水温度130°C ，回水温度70°C。</w:t>
                  </w:r>
                </w:p>
              </w:tc>
              <w:tc>
                <w:tcPr>
                  <w:tcW w:w="2337" w:type="dxa"/>
                  <w:noWrap w:val="0"/>
                  <w:vAlign w:val="center"/>
                </w:tcPr>
                <w:p w14:paraId="767A4BE9">
                  <w:pPr>
                    <w:pStyle w:val="80"/>
                    <w:ind w:firstLine="0" w:firstLineChars="0"/>
                    <w:jc w:val="both"/>
                    <w:rPr>
                      <w:color w:val="000000"/>
                      <w:highlight w:val="red"/>
                    </w:rPr>
                  </w:pPr>
                  <w:r>
                    <w:rPr>
                      <w:rFonts w:hint="eastAsia" w:cs="Times New Roman"/>
                      <w:color w:val="000000"/>
                      <w:highlight w:val="none"/>
                      <w:lang w:eastAsia="zh-CN"/>
                    </w:rPr>
                    <w:t>本项目生活采用电取暖，生产车间不需取暖。</w:t>
                  </w:r>
                </w:p>
              </w:tc>
              <w:tc>
                <w:tcPr>
                  <w:tcW w:w="996" w:type="dxa"/>
                  <w:noWrap w:val="0"/>
                  <w:vAlign w:val="center"/>
                </w:tcPr>
                <w:p w14:paraId="7FE15025">
                  <w:pPr>
                    <w:pStyle w:val="80"/>
                    <w:ind w:firstLine="0" w:firstLineChars="0"/>
                    <w:jc w:val="center"/>
                    <w:rPr>
                      <w:color w:val="000000"/>
                      <w:highlight w:val="red"/>
                    </w:rPr>
                  </w:pPr>
                  <w:r>
                    <w:rPr>
                      <w:rFonts w:cs="Times New Roman"/>
                      <w:color w:val="000000"/>
                      <w:highlight w:val="none"/>
                    </w:rPr>
                    <w:t>与规划相符</w:t>
                  </w:r>
                </w:p>
              </w:tc>
            </w:tr>
          </w:tbl>
          <w:p w14:paraId="03393005">
            <w:pPr>
              <w:pStyle w:val="81"/>
              <w:spacing w:before="113" w:line="347" w:lineRule="auto"/>
              <w:ind w:left="113" w:right="105" w:firstLine="480"/>
              <w:rPr>
                <w:sz w:val="24"/>
                <w:szCs w:val="24"/>
              </w:rPr>
            </w:pPr>
            <w:r>
              <w:rPr>
                <w:spacing w:val="3"/>
                <w:sz w:val="24"/>
                <w:szCs w:val="24"/>
              </w:rPr>
              <w:t>综上所述，本项目符合《沈铁工业走廊调兵山工业</w:t>
            </w:r>
            <w:r>
              <w:rPr>
                <w:spacing w:val="2"/>
                <w:sz w:val="24"/>
                <w:szCs w:val="24"/>
              </w:rPr>
              <w:t>园区</w:t>
            </w:r>
            <w:r>
              <w:rPr>
                <w:spacing w:val="-2"/>
                <w:sz w:val="24"/>
                <w:szCs w:val="24"/>
              </w:rPr>
              <w:t>总体规划》相关要求。</w:t>
            </w:r>
          </w:p>
          <w:p w14:paraId="0B2D858B">
            <w:pPr>
              <w:pStyle w:val="81"/>
              <w:spacing w:before="32" w:line="330" w:lineRule="auto"/>
              <w:ind w:left="110" w:right="103" w:firstLine="484"/>
              <w:rPr>
                <w:sz w:val="24"/>
                <w:szCs w:val="24"/>
              </w:rPr>
            </w:pPr>
            <w:r>
              <w:rPr>
                <w:b/>
                <w:bCs/>
                <w:sz w:val="24"/>
                <w:szCs w:val="24"/>
              </w:rPr>
              <w:t>二、与《沈铁工业走廊调兵山工业园区城南园区总体规</w:t>
            </w:r>
            <w:r>
              <w:rPr>
                <w:b/>
                <w:bCs/>
                <w:spacing w:val="-3"/>
                <w:sz w:val="24"/>
                <w:szCs w:val="24"/>
              </w:rPr>
              <w:t>划环境影响报告书》环评结论相符性分析</w:t>
            </w:r>
          </w:p>
          <w:p w14:paraId="7C5321F8">
            <w:pPr>
              <w:pStyle w:val="81"/>
              <w:spacing w:line="344" w:lineRule="auto"/>
              <w:ind w:left="111" w:right="103" w:firstLine="480"/>
              <w:rPr>
                <w:sz w:val="24"/>
                <w:szCs w:val="24"/>
              </w:rPr>
            </w:pPr>
            <w:r>
              <w:rPr>
                <w:spacing w:val="3"/>
                <w:sz w:val="24"/>
                <w:szCs w:val="24"/>
              </w:rPr>
              <w:t>本项目与《沈铁工业走廊调兵山工业园区城南园区总体</w:t>
            </w:r>
            <w:r>
              <w:rPr>
                <w:spacing w:val="-1"/>
                <w:sz w:val="24"/>
                <w:szCs w:val="24"/>
              </w:rPr>
              <w:t>规划环境影响报告书》环评结论相符性分析见表</w:t>
            </w:r>
            <w:r>
              <w:rPr>
                <w:rFonts w:ascii="Times New Roman" w:hAnsi="Times New Roman" w:eastAsia="Times New Roman" w:cs="Times New Roman"/>
                <w:spacing w:val="-1"/>
                <w:sz w:val="24"/>
                <w:szCs w:val="24"/>
              </w:rPr>
              <w:t>1-3</w:t>
            </w:r>
            <w:r>
              <w:rPr>
                <w:spacing w:val="-1"/>
                <w:sz w:val="24"/>
                <w:szCs w:val="24"/>
              </w:rPr>
              <w:t>。</w:t>
            </w:r>
          </w:p>
          <w:p w14:paraId="7500020B">
            <w:pPr>
              <w:spacing w:beforeLines="0" w:afterLines="0" w:line="360" w:lineRule="auto"/>
              <w:ind w:right="-71" w:rightChars="-34"/>
              <w:jc w:val="center"/>
              <w:rPr>
                <w:b/>
                <w:bCs/>
                <w:spacing w:val="8"/>
                <w:sz w:val="21"/>
                <w:szCs w:val="21"/>
              </w:rPr>
            </w:pPr>
            <w:r>
              <w:rPr>
                <w:b/>
                <w:bCs/>
                <w:spacing w:val="8"/>
                <w:sz w:val="21"/>
                <w:szCs w:val="21"/>
              </w:rPr>
              <w:t>表</w:t>
            </w:r>
            <w:r>
              <w:rPr>
                <w:rFonts w:ascii="Times New Roman" w:hAnsi="Times New Roman" w:eastAsia="Times New Roman" w:cs="Times New Roman"/>
                <w:b/>
                <w:bCs/>
                <w:spacing w:val="8"/>
                <w:sz w:val="21"/>
                <w:szCs w:val="21"/>
              </w:rPr>
              <w:t xml:space="preserve">1-3  </w:t>
            </w:r>
            <w:r>
              <w:rPr>
                <w:b/>
                <w:bCs/>
                <w:spacing w:val="8"/>
                <w:sz w:val="21"/>
                <w:szCs w:val="21"/>
              </w:rPr>
              <w:t>项目与《沈铁工业走廊调兵山工</w:t>
            </w:r>
            <w:r>
              <w:rPr>
                <w:b/>
                <w:bCs/>
                <w:spacing w:val="7"/>
                <w:sz w:val="21"/>
                <w:szCs w:val="21"/>
              </w:rPr>
              <w:t>业园区城南园区总体规划环境</w:t>
            </w:r>
            <w:r>
              <w:rPr>
                <w:b/>
                <w:bCs/>
                <w:spacing w:val="8"/>
                <w:sz w:val="21"/>
                <w:szCs w:val="21"/>
              </w:rPr>
              <w:t>影响报告书》环评结论相符性分析表</w:t>
            </w:r>
          </w:p>
          <w:tbl>
            <w:tblPr>
              <w:tblStyle w:val="19"/>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2930"/>
              <w:gridCol w:w="1375"/>
            </w:tblGrid>
            <w:tr w14:paraId="5D45BA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599" w:type="dxa"/>
                  <w:noWrap w:val="0"/>
                  <w:vAlign w:val="center"/>
                </w:tcPr>
                <w:p w14:paraId="3720CF6A">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6"/>
                      <w:sz w:val="21"/>
                      <w:szCs w:val="21"/>
                    </w:rPr>
                    <w:t>管控要求</w:t>
                  </w:r>
                </w:p>
              </w:tc>
              <w:tc>
                <w:tcPr>
                  <w:tcW w:w="2930" w:type="dxa"/>
                  <w:noWrap w:val="0"/>
                  <w:vAlign w:val="center"/>
                </w:tcPr>
                <w:p w14:paraId="2E6E92A1">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7"/>
                      <w:sz w:val="21"/>
                      <w:szCs w:val="21"/>
                    </w:rPr>
                    <w:t>本项目情况</w:t>
                  </w:r>
                </w:p>
              </w:tc>
              <w:tc>
                <w:tcPr>
                  <w:tcW w:w="1375" w:type="dxa"/>
                  <w:noWrap w:val="0"/>
                  <w:vAlign w:val="center"/>
                </w:tcPr>
                <w:p w14:paraId="5520966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6"/>
                      <w:sz w:val="21"/>
                      <w:szCs w:val="21"/>
                    </w:rPr>
                    <w:t>相符性</w:t>
                  </w:r>
                </w:p>
              </w:tc>
            </w:tr>
            <w:tr w14:paraId="348F1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99" w:type="dxa"/>
                  <w:noWrap w:val="0"/>
                  <w:vAlign w:val="center"/>
                </w:tcPr>
                <w:p w14:paraId="5647AC5B">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color w:val="000000"/>
                      <w:sz w:val="21"/>
                      <w:szCs w:val="21"/>
                      <w:highlight w:val="none"/>
                    </w:rPr>
                  </w:pPr>
                  <w:r>
                    <w:rPr>
                      <w:spacing w:val="8"/>
                      <w:sz w:val="21"/>
                      <w:szCs w:val="21"/>
                    </w:rPr>
                    <w:t>《沈铁工业走廊调兵山工业园</w:t>
                  </w:r>
                  <w:r>
                    <w:rPr>
                      <w:spacing w:val="7"/>
                      <w:sz w:val="21"/>
                      <w:szCs w:val="21"/>
                    </w:rPr>
                    <w:t>区总体规划》本着全面规划、合理布局、突出重点的原则，形成工业规模等级有序、职能分工明确、空间布局合理的城镇工业体系。环境影响预测及分析表明，规划实施后，调兵山工业园区城南园区的声环境、空气环境经过采取环境保护措施后，可控制在</w:t>
                  </w:r>
                  <w:r>
                    <w:rPr>
                      <w:spacing w:val="16"/>
                      <w:sz w:val="21"/>
                      <w:szCs w:val="21"/>
                    </w:rPr>
                    <w:t>相应环境质量标准允许的范围</w:t>
                  </w:r>
                  <w:r>
                    <w:rPr>
                      <w:spacing w:val="7"/>
                      <w:sz w:val="21"/>
                      <w:szCs w:val="21"/>
                    </w:rPr>
                    <w:t>内，地表水环境质量将得到改善，经局部调整后</w:t>
                  </w:r>
                  <w:r>
                    <w:rPr>
                      <w:rFonts w:hint="eastAsia"/>
                      <w:spacing w:val="7"/>
                      <w:sz w:val="21"/>
                      <w:szCs w:val="21"/>
                      <w:lang w:eastAsia="zh-CN"/>
                    </w:rPr>
                    <w:t>，</w:t>
                  </w:r>
                  <w:r>
                    <w:rPr>
                      <w:spacing w:val="7"/>
                      <w:sz w:val="21"/>
                      <w:szCs w:val="21"/>
                    </w:rPr>
                    <w:t>规划方案总</w:t>
                  </w:r>
                  <w:r>
                    <w:rPr>
                      <w:spacing w:val="2"/>
                      <w:sz w:val="21"/>
                      <w:szCs w:val="21"/>
                    </w:rPr>
                    <w:t xml:space="preserve"> </w:t>
                  </w:r>
                  <w:r>
                    <w:rPr>
                      <w:spacing w:val="6"/>
                      <w:sz w:val="21"/>
                      <w:szCs w:val="21"/>
                    </w:rPr>
                    <w:t>体合理可行。</w:t>
                  </w:r>
                </w:p>
              </w:tc>
              <w:tc>
                <w:tcPr>
                  <w:tcW w:w="2930" w:type="dxa"/>
                  <w:noWrap w:val="0"/>
                  <w:vAlign w:val="center"/>
                </w:tcPr>
                <w:p w14:paraId="4FA42D7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Arial"/>
                      <w:sz w:val="21"/>
                      <w:szCs w:val="21"/>
                    </w:rPr>
                  </w:pPr>
                </w:p>
                <w:p w14:paraId="45F97203">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sz w:val="21"/>
                      <w:szCs w:val="21"/>
                      <w:highlight w:val="none"/>
                    </w:rPr>
                  </w:pPr>
                  <w:r>
                    <w:rPr>
                      <w:spacing w:val="19"/>
                      <w:sz w:val="21"/>
                      <w:szCs w:val="21"/>
                    </w:rPr>
                    <w:t>本项目属于</w:t>
                  </w:r>
                  <w:r>
                    <w:rPr>
                      <w:rFonts w:hint="eastAsia"/>
                      <w:spacing w:val="19"/>
                      <w:sz w:val="21"/>
                      <w:szCs w:val="21"/>
                      <w:lang w:eastAsia="zh-CN"/>
                    </w:rPr>
                    <w:t>特种玻璃</w:t>
                  </w:r>
                  <w:r>
                    <w:rPr>
                      <w:spacing w:val="13"/>
                      <w:sz w:val="21"/>
                      <w:szCs w:val="21"/>
                    </w:rPr>
                    <w:t>制造项目，产生的</w:t>
                  </w:r>
                  <w:r>
                    <w:rPr>
                      <w:spacing w:val="29"/>
                      <w:sz w:val="21"/>
                      <w:szCs w:val="21"/>
                    </w:rPr>
                    <w:t>污染物在采取相应的环保措施后均能</w:t>
                  </w:r>
                  <w:r>
                    <w:rPr>
                      <w:spacing w:val="13"/>
                      <w:sz w:val="21"/>
                      <w:szCs w:val="21"/>
                    </w:rPr>
                    <w:t>达标排放，满足《沈</w:t>
                  </w:r>
                  <w:r>
                    <w:rPr>
                      <w:spacing w:val="12"/>
                      <w:sz w:val="21"/>
                      <w:szCs w:val="21"/>
                    </w:rPr>
                    <w:t>铁工业走廊调兵山工业园区总体规划》环境影响评价报告书结</w:t>
                  </w:r>
                  <w:r>
                    <w:rPr>
                      <w:spacing w:val="4"/>
                      <w:sz w:val="21"/>
                      <w:szCs w:val="21"/>
                    </w:rPr>
                    <w:t>论要求。</w:t>
                  </w:r>
                </w:p>
              </w:tc>
              <w:tc>
                <w:tcPr>
                  <w:tcW w:w="1375" w:type="dxa"/>
                  <w:noWrap w:val="0"/>
                  <w:vAlign w:val="center"/>
                </w:tcPr>
                <w:p w14:paraId="228665B5">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3"/>
                      <w:sz w:val="21"/>
                      <w:szCs w:val="21"/>
                    </w:rPr>
                    <w:t>符合</w:t>
                  </w:r>
                </w:p>
              </w:tc>
            </w:tr>
            <w:tr w14:paraId="0E5410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3599" w:type="dxa"/>
                  <w:noWrap w:val="0"/>
                  <w:vAlign w:val="center"/>
                </w:tcPr>
                <w:p w14:paraId="59286BDE">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sz w:val="21"/>
                      <w:szCs w:val="21"/>
                      <w:highlight w:val="none"/>
                    </w:rPr>
                  </w:pPr>
                  <w:r>
                    <w:rPr>
                      <w:spacing w:val="9"/>
                      <w:sz w:val="21"/>
                      <w:szCs w:val="21"/>
                    </w:rPr>
                    <w:t>严格遵照污水集中处理和分散治</w:t>
                  </w:r>
                  <w:r>
                    <w:rPr>
                      <w:spacing w:val="3"/>
                      <w:sz w:val="21"/>
                      <w:szCs w:val="21"/>
                    </w:rPr>
                    <w:t>理相结合的原则，禁止工业和生活污水的直接排放，凡是污染源必须</w:t>
                  </w:r>
                  <w:r>
                    <w:rPr>
                      <w:spacing w:val="6"/>
                      <w:sz w:val="21"/>
                      <w:szCs w:val="21"/>
                    </w:rPr>
                    <w:t>实现达标排放。</w:t>
                  </w:r>
                </w:p>
              </w:tc>
              <w:tc>
                <w:tcPr>
                  <w:tcW w:w="2930" w:type="dxa"/>
                  <w:noWrap w:val="0"/>
                  <w:vAlign w:val="center"/>
                </w:tcPr>
                <w:p w14:paraId="177CA6E5">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sz w:val="21"/>
                      <w:szCs w:val="21"/>
                      <w:highlight w:val="none"/>
                    </w:rPr>
                  </w:pPr>
                  <w:r>
                    <w:rPr>
                      <w:spacing w:val="3"/>
                      <w:sz w:val="21"/>
                      <w:szCs w:val="21"/>
                    </w:rPr>
                    <w:t>本项目生活污水</w:t>
                  </w:r>
                  <w:r>
                    <w:rPr>
                      <w:spacing w:val="12"/>
                      <w:sz w:val="21"/>
                      <w:szCs w:val="21"/>
                    </w:rPr>
                    <w:t>排入市政管网进入</w:t>
                  </w:r>
                  <w:r>
                    <w:rPr>
                      <w:spacing w:val="16"/>
                      <w:sz w:val="21"/>
                      <w:szCs w:val="21"/>
                    </w:rPr>
                    <w:t>调兵山市城市污水处</w:t>
                  </w:r>
                  <w:r>
                    <w:rPr>
                      <w:spacing w:val="7"/>
                      <w:sz w:val="21"/>
                      <w:szCs w:val="21"/>
                    </w:rPr>
                    <w:t xml:space="preserve"> </w:t>
                  </w:r>
                  <w:r>
                    <w:rPr>
                      <w:spacing w:val="16"/>
                      <w:sz w:val="21"/>
                      <w:szCs w:val="21"/>
                    </w:rPr>
                    <w:t>理厂，</w:t>
                  </w:r>
                  <w:r>
                    <w:rPr>
                      <w:rFonts w:hint="eastAsia"/>
                      <w:spacing w:val="16"/>
                      <w:sz w:val="21"/>
                      <w:szCs w:val="21"/>
                      <w:lang w:eastAsia="zh-CN"/>
                    </w:rPr>
                    <w:t>生产废水处理后回用不外排</w:t>
                  </w:r>
                  <w:r>
                    <w:rPr>
                      <w:sz w:val="21"/>
                      <w:szCs w:val="21"/>
                    </w:rPr>
                    <w:t>。</w:t>
                  </w:r>
                </w:p>
              </w:tc>
              <w:tc>
                <w:tcPr>
                  <w:tcW w:w="1375" w:type="dxa"/>
                  <w:noWrap w:val="0"/>
                  <w:vAlign w:val="center"/>
                </w:tcPr>
                <w:p w14:paraId="15CC3B0E">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3"/>
                      <w:sz w:val="21"/>
                      <w:szCs w:val="21"/>
                    </w:rPr>
                    <w:t>符合</w:t>
                  </w:r>
                </w:p>
              </w:tc>
            </w:tr>
            <w:tr w14:paraId="4D32C6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599" w:type="dxa"/>
                  <w:noWrap w:val="0"/>
                  <w:vAlign w:val="center"/>
                </w:tcPr>
                <w:p w14:paraId="28FBEB58">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color w:val="000000"/>
                      <w:sz w:val="21"/>
                      <w:szCs w:val="21"/>
                      <w:highlight w:val="none"/>
                    </w:rPr>
                  </w:pPr>
                  <w:r>
                    <w:rPr>
                      <w:spacing w:val="9"/>
                      <w:sz w:val="21"/>
                      <w:szCs w:val="21"/>
                    </w:rPr>
                    <w:t>南部工业区以新梨公路为界划分</w:t>
                  </w:r>
                  <w:r>
                    <w:rPr>
                      <w:spacing w:val="8"/>
                      <w:sz w:val="21"/>
                      <w:szCs w:val="21"/>
                    </w:rPr>
                    <w:t>两个供热区，新梨公路以东为</w:t>
                  </w:r>
                  <w:r>
                    <w:rPr>
                      <w:spacing w:val="-8"/>
                      <w:sz w:val="21"/>
                      <w:szCs w:val="21"/>
                    </w:rPr>
                    <w:t xml:space="preserve"> </w:t>
                  </w:r>
                  <w:r>
                    <w:rPr>
                      <w:rFonts w:ascii="Times New Roman" w:hAnsi="Times New Roman" w:eastAsia="Times New Roman" w:cs="Times New Roman"/>
                      <w:spacing w:val="8"/>
                      <w:sz w:val="21"/>
                      <w:szCs w:val="21"/>
                    </w:rPr>
                    <w:t>1</w:t>
                  </w:r>
                  <w:r>
                    <w:rPr>
                      <w:rFonts w:ascii="Times New Roman" w:hAnsi="Times New Roman" w:eastAsia="Times New Roman" w:cs="Times New Roman"/>
                      <w:sz w:val="21"/>
                      <w:szCs w:val="21"/>
                    </w:rPr>
                    <w:t xml:space="preserve"> </w:t>
                  </w:r>
                  <w:r>
                    <w:rPr>
                      <w:spacing w:val="1"/>
                      <w:sz w:val="21"/>
                      <w:szCs w:val="21"/>
                    </w:rPr>
                    <w:t>号供热区，新架公路以西为</w:t>
                  </w:r>
                  <w:r>
                    <w:rPr>
                      <w:spacing w:val="-30"/>
                      <w:sz w:val="21"/>
                      <w:szCs w:val="21"/>
                    </w:rPr>
                    <w:t xml:space="preserve"> </w:t>
                  </w:r>
                  <w:r>
                    <w:rPr>
                      <w:rFonts w:ascii="Times New Roman" w:hAnsi="Times New Roman" w:eastAsia="Times New Roman" w:cs="Times New Roman"/>
                      <w:spacing w:val="1"/>
                      <w:sz w:val="21"/>
                      <w:szCs w:val="21"/>
                    </w:rPr>
                    <w:t>2</w:t>
                  </w:r>
                  <w:r>
                    <w:rPr>
                      <w:spacing w:val="1"/>
                      <w:sz w:val="21"/>
                      <w:szCs w:val="21"/>
                    </w:rPr>
                    <w:t>号供</w:t>
                  </w:r>
                  <w:r>
                    <w:rPr>
                      <w:spacing w:val="2"/>
                      <w:sz w:val="21"/>
                      <w:szCs w:val="21"/>
                    </w:rPr>
                    <w:t>热区。</w:t>
                  </w:r>
                </w:p>
              </w:tc>
              <w:tc>
                <w:tcPr>
                  <w:tcW w:w="2930" w:type="dxa"/>
                  <w:noWrap w:val="0"/>
                  <w:vAlign w:val="center"/>
                </w:tcPr>
                <w:p w14:paraId="4C3E7C8E">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000000"/>
                      <w:sz w:val="21"/>
                      <w:szCs w:val="21"/>
                      <w:highlight w:val="none"/>
                      <w:lang w:eastAsia="zh-CN"/>
                    </w:rPr>
                  </w:pPr>
                  <w:r>
                    <w:rPr>
                      <w:spacing w:val="9"/>
                      <w:sz w:val="21"/>
                      <w:szCs w:val="21"/>
                    </w:rPr>
                    <w:t>本项目</w:t>
                  </w:r>
                  <w:r>
                    <w:rPr>
                      <w:rFonts w:hint="eastAsia"/>
                      <w:spacing w:val="9"/>
                      <w:sz w:val="21"/>
                      <w:szCs w:val="21"/>
                      <w:lang w:eastAsia="zh-CN"/>
                    </w:rPr>
                    <w:t>生活采用电取</w:t>
                  </w:r>
                  <w:r>
                    <w:rPr>
                      <w:spacing w:val="6"/>
                      <w:sz w:val="21"/>
                      <w:szCs w:val="21"/>
                    </w:rPr>
                    <w:t>暖</w:t>
                  </w:r>
                  <w:r>
                    <w:rPr>
                      <w:rFonts w:hint="eastAsia"/>
                      <w:spacing w:val="6"/>
                      <w:sz w:val="21"/>
                      <w:szCs w:val="21"/>
                      <w:lang w:eastAsia="zh-CN"/>
                    </w:rPr>
                    <w:t>，生产车间不需取暖。</w:t>
                  </w:r>
                </w:p>
              </w:tc>
              <w:tc>
                <w:tcPr>
                  <w:tcW w:w="1375" w:type="dxa"/>
                  <w:noWrap w:val="0"/>
                  <w:vAlign w:val="center"/>
                </w:tcPr>
                <w:p w14:paraId="0DDEE8C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none"/>
                    </w:rPr>
                  </w:pPr>
                  <w:r>
                    <w:rPr>
                      <w:spacing w:val="3"/>
                      <w:sz w:val="21"/>
                      <w:szCs w:val="21"/>
                    </w:rPr>
                    <w:t>符合</w:t>
                  </w:r>
                </w:p>
              </w:tc>
            </w:tr>
            <w:tr w14:paraId="778690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599" w:type="dxa"/>
                  <w:noWrap w:val="0"/>
                  <w:vAlign w:val="center"/>
                </w:tcPr>
                <w:p w14:paraId="4F96F991">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eastAsia="宋体"/>
                      <w:color w:val="000000"/>
                      <w:sz w:val="21"/>
                      <w:szCs w:val="21"/>
                      <w:highlight w:val="red"/>
                      <w:lang w:eastAsia="zh-CN"/>
                    </w:rPr>
                  </w:pPr>
                  <w:r>
                    <w:rPr>
                      <w:spacing w:val="9"/>
                      <w:sz w:val="21"/>
                      <w:szCs w:val="21"/>
                    </w:rPr>
                    <w:t>调兵山工业区城南园区以高科技</w:t>
                  </w:r>
                  <w:r>
                    <w:rPr>
                      <w:spacing w:val="3"/>
                      <w:sz w:val="21"/>
                      <w:szCs w:val="21"/>
                    </w:rPr>
                    <w:t>产业、农产品加工业（肉禽加工产业和食品加工产业）、装备制造及配套加工产业为主导功能，以规划为龙头进行用地布局。原则上规划</w:t>
                  </w:r>
                  <w:r>
                    <w:rPr>
                      <w:spacing w:val="7"/>
                      <w:sz w:val="21"/>
                      <w:szCs w:val="21"/>
                    </w:rPr>
                    <w:t>控制三类工业企业的进驻。</w:t>
                  </w:r>
                  <w:r>
                    <w:rPr>
                      <w:rFonts w:ascii="Times New Roman" w:hAnsi="Times New Roman" w:eastAsia="Times New Roman" w:cs="Times New Roman"/>
                      <w:spacing w:val="7"/>
                      <w:sz w:val="21"/>
                      <w:szCs w:val="21"/>
                    </w:rPr>
                    <w:t>1</w:t>
                  </w:r>
                  <w:r>
                    <w:rPr>
                      <w:rFonts w:ascii="Times New Roman" w:hAnsi="Times New Roman" w:eastAsia="Times New Roman" w:cs="Times New Roman"/>
                      <w:spacing w:val="-19"/>
                      <w:sz w:val="21"/>
                      <w:szCs w:val="21"/>
                    </w:rPr>
                    <w:t xml:space="preserve"> </w:t>
                  </w:r>
                  <w:r>
                    <w:rPr>
                      <w:spacing w:val="7"/>
                      <w:sz w:val="21"/>
                      <w:szCs w:val="21"/>
                    </w:rPr>
                    <w:t>、进</w:t>
                  </w:r>
                  <w:r>
                    <w:rPr>
                      <w:spacing w:val="9"/>
                      <w:sz w:val="21"/>
                      <w:szCs w:val="21"/>
                    </w:rPr>
                    <w:t>入城南园区的企业要以高科技产</w:t>
                  </w:r>
                  <w:r>
                    <w:rPr>
                      <w:spacing w:val="3"/>
                      <w:sz w:val="21"/>
                      <w:szCs w:val="21"/>
                    </w:rPr>
                    <w:t>业为先导，以装备制造及配套加工</w:t>
                  </w:r>
                  <w:r>
                    <w:rPr>
                      <w:spacing w:val="7"/>
                      <w:sz w:val="21"/>
                      <w:szCs w:val="21"/>
                    </w:rPr>
                    <w:t>产业为主导行业。</w:t>
                  </w:r>
                  <w:r>
                    <w:rPr>
                      <w:rFonts w:ascii="Times New Roman" w:hAnsi="Times New Roman" w:eastAsia="Times New Roman" w:cs="Times New Roman"/>
                      <w:spacing w:val="7"/>
                      <w:sz w:val="21"/>
                      <w:szCs w:val="21"/>
                    </w:rPr>
                    <w:t>2</w:t>
                  </w:r>
                  <w:r>
                    <w:rPr>
                      <w:rFonts w:ascii="Times New Roman" w:hAnsi="Times New Roman" w:eastAsia="Times New Roman" w:cs="Times New Roman"/>
                      <w:spacing w:val="-18"/>
                      <w:sz w:val="21"/>
                      <w:szCs w:val="21"/>
                    </w:rPr>
                    <w:t xml:space="preserve"> </w:t>
                  </w:r>
                  <w:r>
                    <w:rPr>
                      <w:spacing w:val="7"/>
                      <w:sz w:val="21"/>
                      <w:szCs w:val="21"/>
                    </w:rPr>
                    <w:t>、污染型项目</w:t>
                  </w:r>
                  <w:r>
                    <w:rPr>
                      <w:spacing w:val="9"/>
                      <w:sz w:val="21"/>
                      <w:szCs w:val="21"/>
                    </w:rPr>
                    <w:t>必须配套完善的企业环保措施与</w:t>
                  </w:r>
                  <w:r>
                    <w:rPr>
                      <w:spacing w:val="7"/>
                      <w:sz w:val="21"/>
                      <w:szCs w:val="21"/>
                    </w:rPr>
                    <w:t>园区公用工程相对接</w:t>
                  </w:r>
                  <w:r>
                    <w:rPr>
                      <w:rFonts w:hint="eastAsia"/>
                      <w:spacing w:val="7"/>
                      <w:sz w:val="21"/>
                      <w:szCs w:val="21"/>
                      <w:lang w:eastAsia="zh-CN"/>
                    </w:rPr>
                    <w:t>。</w:t>
                  </w:r>
                </w:p>
              </w:tc>
              <w:tc>
                <w:tcPr>
                  <w:tcW w:w="2930" w:type="dxa"/>
                  <w:noWrap w:val="0"/>
                  <w:vAlign w:val="center"/>
                </w:tcPr>
                <w:p w14:paraId="17A9924E">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sz w:val="21"/>
                      <w:szCs w:val="21"/>
                      <w:highlight w:val="red"/>
                    </w:rPr>
                  </w:pPr>
                  <w:r>
                    <w:rPr>
                      <w:spacing w:val="12"/>
                      <w:sz w:val="21"/>
                      <w:szCs w:val="21"/>
                    </w:rPr>
                    <w:t>本项目属于</w:t>
                  </w:r>
                  <w:r>
                    <w:rPr>
                      <w:rFonts w:hint="eastAsia"/>
                      <w:spacing w:val="12"/>
                      <w:sz w:val="21"/>
                      <w:szCs w:val="21"/>
                      <w:lang w:eastAsia="zh-CN"/>
                    </w:rPr>
                    <w:t>特种玻璃制造</w:t>
                  </w:r>
                  <w:r>
                    <w:rPr>
                      <w:spacing w:val="12"/>
                      <w:sz w:val="21"/>
                      <w:szCs w:val="21"/>
                    </w:rPr>
                    <w:t>项目，符合规划用地布局</w:t>
                  </w:r>
                  <w:r>
                    <w:rPr>
                      <w:rFonts w:hint="eastAsia"/>
                      <w:spacing w:val="12"/>
                      <w:sz w:val="21"/>
                      <w:szCs w:val="21"/>
                      <w:lang w:eastAsia="zh-CN"/>
                    </w:rPr>
                    <w:t>，取得调兵山经济开发区管理委员会立项文件</w:t>
                  </w:r>
                  <w:r>
                    <w:rPr>
                      <w:spacing w:val="12"/>
                      <w:sz w:val="21"/>
                      <w:szCs w:val="21"/>
                    </w:rPr>
                    <w:t>。</w:t>
                  </w:r>
                </w:p>
              </w:tc>
              <w:tc>
                <w:tcPr>
                  <w:tcW w:w="1375" w:type="dxa"/>
                  <w:noWrap w:val="0"/>
                  <w:vAlign w:val="center"/>
                </w:tcPr>
                <w:p w14:paraId="33F5F3F8">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color w:val="000000"/>
                      <w:sz w:val="21"/>
                      <w:szCs w:val="21"/>
                      <w:highlight w:val="red"/>
                    </w:rPr>
                  </w:pPr>
                  <w:r>
                    <w:rPr>
                      <w:spacing w:val="3"/>
                      <w:sz w:val="21"/>
                      <w:szCs w:val="21"/>
                    </w:rPr>
                    <w:t>符合</w:t>
                  </w:r>
                </w:p>
              </w:tc>
            </w:tr>
          </w:tbl>
          <w:p w14:paraId="44D49152">
            <w:pPr>
              <w:pStyle w:val="81"/>
              <w:spacing w:before="115" w:line="330" w:lineRule="auto"/>
              <w:ind w:left="110" w:right="105" w:firstLine="482"/>
              <w:rPr>
                <w:sz w:val="24"/>
                <w:szCs w:val="24"/>
              </w:rPr>
            </w:pPr>
            <w:r>
              <w:rPr>
                <w:spacing w:val="3"/>
                <w:sz w:val="24"/>
                <w:szCs w:val="24"/>
              </w:rPr>
              <w:t>综上所述，本项目符合《沈铁工业走廊调兵山工业</w:t>
            </w:r>
            <w:r>
              <w:rPr>
                <w:spacing w:val="2"/>
                <w:sz w:val="24"/>
                <w:szCs w:val="24"/>
              </w:rPr>
              <w:t>园区</w:t>
            </w:r>
            <w:r>
              <w:rPr>
                <w:spacing w:val="-1"/>
                <w:sz w:val="24"/>
                <w:szCs w:val="24"/>
              </w:rPr>
              <w:t>城南园区总体规划环境影响报告书》环评结论相关要求。</w:t>
            </w:r>
          </w:p>
          <w:p w14:paraId="4B7FDD27">
            <w:pPr>
              <w:pStyle w:val="81"/>
              <w:spacing w:line="344" w:lineRule="auto"/>
              <w:ind w:left="110" w:right="167" w:firstLine="480"/>
              <w:rPr>
                <w:sz w:val="24"/>
                <w:szCs w:val="24"/>
              </w:rPr>
            </w:pPr>
            <w:r>
              <w:rPr>
                <w:b/>
                <w:bCs/>
                <w:spacing w:val="-2"/>
                <w:sz w:val="24"/>
                <w:szCs w:val="24"/>
              </w:rPr>
              <w:t>三、与《关于沈铁工业走廊调兵山工业园区城南园</w:t>
            </w:r>
            <w:r>
              <w:rPr>
                <w:b/>
                <w:bCs/>
                <w:spacing w:val="-3"/>
                <w:sz w:val="24"/>
                <w:szCs w:val="24"/>
              </w:rPr>
              <w:t>区总</w:t>
            </w:r>
            <w:r>
              <w:rPr>
                <w:b/>
                <w:bCs/>
                <w:spacing w:val="-2"/>
                <w:sz w:val="24"/>
                <w:szCs w:val="24"/>
              </w:rPr>
              <w:t>体规划环境影响报告书审查意见的函》相符</w:t>
            </w:r>
            <w:r>
              <w:rPr>
                <w:b/>
                <w:bCs/>
                <w:spacing w:val="-3"/>
                <w:sz w:val="24"/>
                <w:szCs w:val="24"/>
              </w:rPr>
              <w:t>性分析</w:t>
            </w:r>
          </w:p>
          <w:p w14:paraId="5420C276">
            <w:pPr>
              <w:spacing w:beforeLines="0" w:afterLines="0" w:line="360" w:lineRule="auto"/>
              <w:ind w:right="-71" w:rightChars="-34" w:firstLine="476" w:firstLineChars="200"/>
              <w:rPr>
                <w:spacing w:val="-4"/>
                <w:sz w:val="24"/>
                <w:szCs w:val="24"/>
              </w:rPr>
            </w:pPr>
            <w:r>
              <w:rPr>
                <w:spacing w:val="-1"/>
                <w:sz w:val="24"/>
                <w:szCs w:val="24"/>
              </w:rPr>
              <w:t>本项目与《关于沈铁工业走廊调兵山工业园区城南园区总体规划环境影响报告书审查意见的函》相符性分析见下表</w:t>
            </w:r>
            <w:r>
              <w:rPr>
                <w:rFonts w:ascii="Times New Roman" w:hAnsi="Times New Roman" w:eastAsia="Times New Roman" w:cs="Times New Roman"/>
                <w:spacing w:val="-4"/>
                <w:sz w:val="24"/>
                <w:szCs w:val="24"/>
              </w:rPr>
              <w:t>1-4</w:t>
            </w:r>
            <w:r>
              <w:rPr>
                <w:spacing w:val="-4"/>
                <w:sz w:val="24"/>
                <w:szCs w:val="24"/>
              </w:rPr>
              <w:t>。</w:t>
            </w:r>
          </w:p>
          <w:p w14:paraId="67D9221D">
            <w:pPr>
              <w:pStyle w:val="81"/>
              <w:spacing w:before="36" w:line="237" w:lineRule="auto"/>
              <w:ind w:left="1373" w:right="105" w:hanging="1265"/>
              <w:jc w:val="center"/>
            </w:pPr>
            <w:r>
              <w:rPr>
                <w:b/>
                <w:bCs/>
                <w:spacing w:val="7"/>
              </w:rPr>
              <w:t>表</w:t>
            </w:r>
            <w:r>
              <w:rPr>
                <w:spacing w:val="-31"/>
              </w:rPr>
              <w:t xml:space="preserve"> </w:t>
            </w:r>
            <w:r>
              <w:rPr>
                <w:rFonts w:ascii="Times New Roman" w:hAnsi="Times New Roman" w:eastAsia="Times New Roman" w:cs="Times New Roman"/>
                <w:b/>
                <w:bCs/>
                <w:spacing w:val="7"/>
              </w:rPr>
              <w:t xml:space="preserve">1-4  </w:t>
            </w:r>
            <w:r>
              <w:rPr>
                <w:b/>
                <w:bCs/>
                <w:spacing w:val="7"/>
              </w:rPr>
              <w:t>与《关于沈铁工业走廊调兵山工业园区</w:t>
            </w:r>
            <w:r>
              <w:rPr>
                <w:b/>
                <w:bCs/>
                <w:spacing w:val="6"/>
              </w:rPr>
              <w:t>城南园区总体规划环境</w:t>
            </w:r>
            <w:r>
              <w:rPr>
                <w:b/>
                <w:bCs/>
                <w:spacing w:val="8"/>
              </w:rPr>
              <w:t>影响报告书审查意见的函》相符性分析表</w:t>
            </w:r>
          </w:p>
          <w:tbl>
            <w:tblPr>
              <w:tblStyle w:val="50"/>
              <w:tblW w:w="789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9"/>
              <w:gridCol w:w="2700"/>
              <w:gridCol w:w="837"/>
            </w:tblGrid>
            <w:tr w14:paraId="40B6B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359" w:type="dxa"/>
                  <w:tcBorders>
                    <w:top w:val="single" w:color="000000" w:sz="10" w:space="0"/>
                    <w:left w:val="nil"/>
                  </w:tcBorders>
                  <w:noWrap w:val="0"/>
                  <w:vAlign w:val="center"/>
                </w:tcPr>
                <w:p w14:paraId="7C997922">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要求</w:t>
                  </w:r>
                </w:p>
              </w:tc>
              <w:tc>
                <w:tcPr>
                  <w:tcW w:w="2700" w:type="dxa"/>
                  <w:tcBorders>
                    <w:top w:val="single" w:color="000000" w:sz="10" w:space="0"/>
                  </w:tcBorders>
                  <w:noWrap w:val="0"/>
                  <w:vAlign w:val="center"/>
                </w:tcPr>
                <w:p w14:paraId="38F32FCA">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本项目具体情况</w:t>
                  </w:r>
                </w:p>
              </w:tc>
              <w:tc>
                <w:tcPr>
                  <w:tcW w:w="837" w:type="dxa"/>
                  <w:tcBorders>
                    <w:top w:val="single" w:color="000000" w:sz="10" w:space="0"/>
                    <w:right w:val="nil"/>
                  </w:tcBorders>
                  <w:noWrap w:val="0"/>
                  <w:vAlign w:val="center"/>
                </w:tcPr>
                <w:p w14:paraId="59B427C3">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相符性</w:t>
                  </w:r>
                </w:p>
              </w:tc>
            </w:tr>
            <w:tr w14:paraId="7C68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359" w:type="dxa"/>
                  <w:tcBorders>
                    <w:left w:val="nil"/>
                  </w:tcBorders>
                  <w:noWrap w:val="0"/>
                  <w:vAlign w:val="center"/>
                </w:tcPr>
                <w:p w14:paraId="30C4A770">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9"/>
                      <w:sz w:val="21"/>
                      <w:szCs w:val="21"/>
                    </w:rPr>
                  </w:pPr>
                  <w:r>
                    <w:rPr>
                      <w:rFonts w:hint="default" w:ascii="Times New Roman" w:hAnsi="Times New Roman" w:eastAsia="宋体" w:cs="Times New Roman"/>
                      <w:spacing w:val="9"/>
                      <w:sz w:val="21"/>
                      <w:szCs w:val="21"/>
                    </w:rPr>
                    <w:t>1、调兵山市应尽快编制调兵山市供热规划，并组织规划环评</w:t>
                  </w:r>
                </w:p>
              </w:tc>
              <w:tc>
                <w:tcPr>
                  <w:tcW w:w="2700" w:type="dxa"/>
                  <w:noWrap w:val="0"/>
                  <w:vAlign w:val="center"/>
                </w:tcPr>
                <w:p w14:paraId="71BAB802">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spacing w:val="9"/>
                      <w:sz w:val="21"/>
                      <w:szCs w:val="21"/>
                    </w:rPr>
                    <w:t>本项目</w:t>
                  </w:r>
                  <w:r>
                    <w:rPr>
                      <w:rFonts w:hint="eastAsia"/>
                      <w:spacing w:val="9"/>
                      <w:sz w:val="21"/>
                      <w:szCs w:val="21"/>
                      <w:lang w:eastAsia="zh-CN"/>
                    </w:rPr>
                    <w:t>办公室电采暖，生产车间不需取暖</w:t>
                  </w:r>
                </w:p>
              </w:tc>
              <w:tc>
                <w:tcPr>
                  <w:tcW w:w="837" w:type="dxa"/>
                  <w:tcBorders>
                    <w:right w:val="nil"/>
                  </w:tcBorders>
                  <w:noWrap w:val="0"/>
                  <w:vAlign w:val="center"/>
                </w:tcPr>
                <w:p w14:paraId="26B1A98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符合</w:t>
                  </w:r>
                </w:p>
              </w:tc>
            </w:tr>
            <w:tr w14:paraId="6760B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359" w:type="dxa"/>
                  <w:tcBorders>
                    <w:left w:val="nil"/>
                  </w:tcBorders>
                  <w:noWrap w:val="0"/>
                  <w:vAlign w:val="center"/>
                </w:tcPr>
                <w:p w14:paraId="73CB4D72">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宋体" w:cs="Times New Roman"/>
                      <w:spacing w:val="9"/>
                      <w:sz w:val="21"/>
                      <w:szCs w:val="21"/>
                    </w:rPr>
                  </w:pPr>
                  <w:r>
                    <w:rPr>
                      <w:rFonts w:hint="default" w:ascii="Times New Roman" w:hAnsi="Times New Roman" w:eastAsia="宋体" w:cs="Times New Roman"/>
                      <w:spacing w:val="9"/>
                      <w:sz w:val="21"/>
                      <w:szCs w:val="21"/>
                    </w:rPr>
                    <w:t>2、城南园区现已入驻企业的废水可依托调兵山市污水处理厂处理，但城南园区必须铺设到调兵山市污水处理厂的排水管网。在排水管网铺设前，近期城南园区已入驻企业应自建污水处理厂处理达标的废水排放到长沟河，污水处理厂出水执行《辽宁省污水与废气排放标准》（DB21-60-89）。开发区应尽快建设污水处理厂，污水处理厂出水执行《城镇污水处理厂污染物排放标准》（GB18918-2002）一级A标准，进行中水回用，不能回用部分中水排入长沟河，远期实现废水零排放。</w:t>
                  </w:r>
                </w:p>
              </w:tc>
              <w:tc>
                <w:tcPr>
                  <w:tcW w:w="2700" w:type="dxa"/>
                  <w:noWrap w:val="0"/>
                  <w:vAlign w:val="center"/>
                </w:tcPr>
                <w:p w14:paraId="68462C92">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pacing w:val="9"/>
                      <w:sz w:val="21"/>
                      <w:szCs w:val="21"/>
                      <w:lang w:eastAsia="zh-CN"/>
                    </w:rPr>
                  </w:pPr>
                  <w:r>
                    <w:rPr>
                      <w:rFonts w:ascii="宋体" w:hAnsi="宋体" w:eastAsia="宋体" w:cs="宋体"/>
                      <w:spacing w:val="9"/>
                      <w:sz w:val="21"/>
                      <w:szCs w:val="21"/>
                    </w:rPr>
                    <w:t>项目生活污水排入市政管网进入调兵山市污水处理厂</w:t>
                  </w:r>
                  <w:r>
                    <w:rPr>
                      <w:rFonts w:hint="eastAsia" w:ascii="宋体" w:hAnsi="宋体" w:eastAsia="宋体" w:cs="宋体"/>
                      <w:spacing w:val="9"/>
                      <w:sz w:val="21"/>
                      <w:szCs w:val="21"/>
                      <w:lang w:eastAsia="zh-CN"/>
                    </w:rPr>
                    <w:t>，无生产废水排放。</w:t>
                  </w:r>
                </w:p>
              </w:tc>
              <w:tc>
                <w:tcPr>
                  <w:tcW w:w="837" w:type="dxa"/>
                  <w:tcBorders>
                    <w:right w:val="nil"/>
                  </w:tcBorders>
                  <w:noWrap w:val="0"/>
                  <w:vAlign w:val="center"/>
                </w:tcPr>
                <w:p w14:paraId="5EC7ABBD">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符合</w:t>
                  </w:r>
                </w:p>
              </w:tc>
            </w:tr>
            <w:tr w14:paraId="5BD7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9" w:hRule="atLeast"/>
              </w:trPr>
              <w:tc>
                <w:tcPr>
                  <w:tcW w:w="4359" w:type="dxa"/>
                  <w:tcBorders>
                    <w:left w:val="nil"/>
                    <w:bottom w:val="single" w:color="000000" w:sz="10" w:space="0"/>
                  </w:tcBorders>
                  <w:noWrap w:val="0"/>
                  <w:vAlign w:val="center"/>
                </w:tcPr>
                <w:p w14:paraId="706505D3">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9"/>
                      <w:sz w:val="21"/>
                      <w:szCs w:val="21"/>
                    </w:rPr>
                  </w:pPr>
                  <w:r>
                    <w:rPr>
                      <w:rFonts w:hint="default" w:ascii="Times New Roman" w:hAnsi="Times New Roman" w:eastAsia="宋体" w:cs="Times New Roman"/>
                      <w:spacing w:val="9"/>
                      <w:sz w:val="21"/>
                      <w:szCs w:val="21"/>
                    </w:rPr>
                    <w:t>3、按照《城市用地分类与规划建设用地标准》，明确多功能区土地使用性质和功能，调整 居住用地布局，建议长沟河北支流以北的多功能用地调整为居住用地，北支流以南的多功能用地和居住用地调整为发展备用地</w:t>
                  </w:r>
                  <w:r>
                    <w:rPr>
                      <w:rFonts w:hint="default" w:ascii="Times New Roman" w:hAnsi="Times New Roman" w:eastAsia="宋体" w:cs="Times New Roman"/>
                      <w:spacing w:val="9"/>
                      <w:sz w:val="21"/>
                      <w:szCs w:val="21"/>
                      <w:lang w:eastAsia="zh-CN"/>
                    </w:rPr>
                    <w:t>，</w:t>
                  </w:r>
                  <w:r>
                    <w:rPr>
                      <w:rFonts w:hint="default" w:ascii="Times New Roman" w:hAnsi="Times New Roman" w:eastAsia="宋体" w:cs="Times New Roman"/>
                      <w:spacing w:val="9"/>
                      <w:sz w:val="21"/>
                      <w:szCs w:val="21"/>
                    </w:rPr>
                    <w:t>为调兵山远景发展预留空间，将位于生态路南侧和调兵山大街东侧部分工业用地 规划为一类工业用地，其余部分工业用地规划为二类工业用地，利用调整工业布局来减少企业对生态路南侧的居住区和公共设施的影响。</w:t>
                  </w:r>
                </w:p>
              </w:tc>
              <w:tc>
                <w:tcPr>
                  <w:tcW w:w="2700" w:type="dxa"/>
                  <w:tcBorders>
                    <w:bottom w:val="single" w:color="000000" w:sz="10" w:space="0"/>
                  </w:tcBorders>
                  <w:noWrap w:val="0"/>
                  <w:vAlign w:val="center"/>
                </w:tcPr>
                <w:p w14:paraId="766FF125">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本项目属于</w:t>
                  </w:r>
                  <w:r>
                    <w:rPr>
                      <w:rFonts w:hint="eastAsia" w:ascii="宋体" w:hAnsi="宋体" w:eastAsia="宋体" w:cs="宋体"/>
                      <w:spacing w:val="9"/>
                      <w:sz w:val="21"/>
                      <w:szCs w:val="21"/>
                      <w:lang w:eastAsia="zh-CN"/>
                    </w:rPr>
                    <w:t>特种玻璃制造</w:t>
                  </w:r>
                  <w:r>
                    <w:rPr>
                      <w:rFonts w:ascii="宋体" w:hAnsi="宋体" w:eastAsia="宋体" w:cs="宋体"/>
                      <w:spacing w:val="9"/>
                      <w:sz w:val="21"/>
                      <w:szCs w:val="21"/>
                    </w:rPr>
                    <w:t>，产品为</w:t>
                  </w:r>
                  <w:r>
                    <w:rPr>
                      <w:rFonts w:hint="eastAsia" w:ascii="宋体" w:hAnsi="宋体" w:eastAsia="宋体" w:cs="宋体"/>
                      <w:spacing w:val="9"/>
                      <w:sz w:val="21"/>
                      <w:szCs w:val="21"/>
                      <w:lang w:eastAsia="zh-CN"/>
                    </w:rPr>
                    <w:t>钢化玻璃以及中空玻璃</w:t>
                  </w:r>
                  <w:r>
                    <w:rPr>
                      <w:rFonts w:ascii="宋体" w:hAnsi="宋体" w:eastAsia="宋体" w:cs="宋体"/>
                      <w:spacing w:val="9"/>
                      <w:sz w:val="21"/>
                      <w:szCs w:val="21"/>
                    </w:rPr>
                    <w:t>，不属于沈铁工业走廊调兵山工业区总体规划禁入类别项目，满足要求。</w:t>
                  </w:r>
                </w:p>
              </w:tc>
              <w:tc>
                <w:tcPr>
                  <w:tcW w:w="837" w:type="dxa"/>
                  <w:tcBorders>
                    <w:bottom w:val="single" w:color="000000" w:sz="10" w:space="0"/>
                    <w:right w:val="nil"/>
                  </w:tcBorders>
                  <w:noWrap w:val="0"/>
                  <w:vAlign w:val="center"/>
                </w:tcPr>
                <w:p w14:paraId="327D250B">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宋体" w:hAnsi="宋体" w:eastAsia="宋体" w:cs="宋体"/>
                      <w:spacing w:val="9"/>
                      <w:sz w:val="21"/>
                      <w:szCs w:val="21"/>
                    </w:rPr>
                  </w:pPr>
                  <w:r>
                    <w:rPr>
                      <w:rFonts w:ascii="宋体" w:hAnsi="宋体" w:eastAsia="宋体" w:cs="宋体"/>
                      <w:spacing w:val="9"/>
                      <w:sz w:val="21"/>
                      <w:szCs w:val="21"/>
                    </w:rPr>
                    <w:t>符合</w:t>
                  </w:r>
                </w:p>
              </w:tc>
            </w:tr>
          </w:tbl>
          <w:p w14:paraId="27D6E1F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right="0" w:rightChars="0" w:firstLine="464" w:firstLineChars="200"/>
              <w:textAlignment w:val="auto"/>
              <w:rPr>
                <w:rFonts w:hint="default" w:ascii="Times New Roman" w:hAnsi="Times New Roman" w:eastAsia="宋体" w:cs="Times New Roman"/>
                <w:color w:val="auto"/>
                <w:kern w:val="0"/>
                <w:sz w:val="24"/>
                <w:szCs w:val="24"/>
                <w:lang w:val="en-US" w:eastAsia="zh-CN"/>
              </w:rPr>
            </w:pPr>
            <w:r>
              <w:rPr>
                <w:rFonts w:hint="default"/>
                <w:spacing w:val="-4"/>
                <w:sz w:val="24"/>
                <w:szCs w:val="24"/>
              </w:rPr>
              <w:t>综上所述，本项目符合《关于沈铁工业走廊调兵山工业园区城南园区总体规划环境影响报告书审查意见的函》相关要求。</w:t>
            </w:r>
          </w:p>
        </w:tc>
      </w:tr>
      <w:tr w14:paraId="17D11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35" w:type="dxa"/>
            <w:noWrap w:val="0"/>
            <w:vAlign w:val="center"/>
          </w:tcPr>
          <w:p w14:paraId="1B674351">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8129" w:type="dxa"/>
            <w:gridSpan w:val="3"/>
            <w:noWrap w:val="0"/>
            <w:vAlign w:val="center"/>
          </w:tcPr>
          <w:p w14:paraId="6345D37A">
            <w:pPr>
              <w:autoSpaceDE w:val="0"/>
              <w:autoSpaceDN w:val="0"/>
              <w:adjustRightInd w:val="0"/>
              <w:spacing w:line="480" w:lineRule="exact"/>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1、产业政策分析</w:t>
            </w:r>
          </w:p>
          <w:p w14:paraId="3E6CB1FC">
            <w:pPr>
              <w:spacing w:line="480" w:lineRule="exact"/>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为</w:t>
            </w:r>
            <w:r>
              <w:rPr>
                <w:rFonts w:hint="eastAsia" w:cs="Times New Roman"/>
                <w:color w:val="auto"/>
                <w:sz w:val="24"/>
                <w:szCs w:val="24"/>
                <w:lang w:eastAsia="zh-CN"/>
              </w:rPr>
              <w:t>特种玻璃（钢化、中空）生产项目</w:t>
            </w:r>
            <w:r>
              <w:rPr>
                <w:rFonts w:hint="default" w:ascii="Times New Roman" w:hAnsi="Times New Roman" w:eastAsia="宋体" w:cs="Times New Roman"/>
                <w:color w:val="auto"/>
                <w:sz w:val="24"/>
                <w:szCs w:val="24"/>
              </w:rPr>
              <w:t>，依据“</w:t>
            </w:r>
            <w:r>
              <w:rPr>
                <w:rFonts w:hint="eastAsia" w:ascii="宋体" w:hAnsi="宋体"/>
                <w:b w:val="0"/>
                <w:bCs w:val="0"/>
                <w:sz w:val="24"/>
                <w:szCs w:val="24"/>
              </w:rPr>
              <w:t>中华人民共和国国家发展和改革</w:t>
            </w:r>
            <w:r>
              <w:rPr>
                <w:rFonts w:hint="default" w:ascii="Times New Roman" w:hAnsi="Times New Roman" w:cs="Times New Roman"/>
                <w:b w:val="0"/>
                <w:bCs w:val="0"/>
                <w:sz w:val="24"/>
                <w:szCs w:val="24"/>
              </w:rPr>
              <w:t>委员会第9号令《产业结构调整指导目录</w:t>
            </w:r>
            <w:r>
              <w:rPr>
                <w:rFonts w:hint="eastAsia" w:ascii="Times New Roman" w:hAnsi="Times New Roman" w:cs="Times New Roman"/>
                <w:b w:val="0"/>
                <w:bCs w:val="0"/>
                <w:sz w:val="24"/>
                <w:szCs w:val="24"/>
                <w:lang w:eastAsia="zh-CN"/>
              </w:rPr>
              <w:t>（</w:t>
            </w:r>
            <w:r>
              <w:rPr>
                <w:rFonts w:hint="default" w:ascii="Times New Roman" w:hAnsi="Times New Roman" w:eastAsia="宋体" w:cs="Times New Roman"/>
                <w:b w:val="0"/>
                <w:bCs w:val="0"/>
                <w:color w:val="auto"/>
                <w:sz w:val="24"/>
                <w:szCs w:val="24"/>
                <w:lang w:val="en-US" w:eastAsia="zh-CN"/>
              </w:rPr>
              <w:t>2024年本</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w:t>
            </w:r>
            <w:r>
              <w:rPr>
                <w:rFonts w:hint="default" w:ascii="Times New Roman" w:hAnsi="Times New Roman" w:eastAsia="宋体" w:cs="Times New Roman"/>
                <w:color w:val="auto"/>
                <w:sz w:val="24"/>
                <w:szCs w:val="24"/>
              </w:rPr>
              <w:t>”，不属于鼓励类、限制类和淘汰类，视为允许类，</w:t>
            </w:r>
            <w:r>
              <w:rPr>
                <w:rFonts w:hint="default" w:ascii="Times New Roman" w:hAnsi="Times New Roman" w:cs="Times New Roman"/>
                <w:color w:val="auto"/>
                <w:sz w:val="24"/>
                <w:szCs w:val="24"/>
              </w:rPr>
              <w:t>因此本项目符合国家</w:t>
            </w:r>
            <w:r>
              <w:rPr>
                <w:rFonts w:hint="default" w:ascii="Times New Roman" w:hAnsi="Times New Roman" w:eastAsia="宋体" w:cs="Times New Roman"/>
                <w:color w:val="auto"/>
                <w:sz w:val="24"/>
                <w:szCs w:val="24"/>
              </w:rPr>
              <w:t>产业政策。</w:t>
            </w:r>
          </w:p>
          <w:p w14:paraId="17984924">
            <w:pPr>
              <w:spacing w:line="480" w:lineRule="exact"/>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且项目于2024年3月8日已取得调兵山经济开发区管理委员会立项文件（铁调经开备[2024]1号，项目代码：2403-211283-04-01-881858）。</w:t>
            </w:r>
          </w:p>
          <w:p w14:paraId="05ECC615">
            <w:pPr>
              <w:pStyle w:val="4"/>
              <w:spacing w:before="0" w:after="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选址符合性分析</w:t>
            </w:r>
          </w:p>
          <w:p w14:paraId="30B2EB9B">
            <w:pPr>
              <w:spacing w:line="480" w:lineRule="exact"/>
              <w:ind w:firstLine="480" w:firstLineChars="200"/>
              <w:rPr>
                <w:rFonts w:ascii="宋体" w:hAnsi="宋体"/>
                <w:color w:val="auto"/>
                <w:sz w:val="24"/>
                <w:szCs w:val="24"/>
              </w:rPr>
            </w:pPr>
            <w:r>
              <w:rPr>
                <w:rFonts w:ascii="宋体" w:hAnsi="宋体"/>
                <w:color w:val="auto"/>
                <w:sz w:val="24"/>
                <w:szCs w:val="24"/>
              </w:rPr>
              <w:t>本项目位于</w:t>
            </w:r>
            <w:r>
              <w:rPr>
                <w:rFonts w:hint="eastAsia" w:ascii="宋体" w:hAnsi="宋体"/>
                <w:color w:val="auto"/>
                <w:sz w:val="24"/>
                <w:szCs w:val="24"/>
                <w:lang w:eastAsia="zh-CN"/>
              </w:rPr>
              <w:t>辽宁省铁岭市</w:t>
            </w:r>
            <w:r>
              <w:rPr>
                <w:rFonts w:hint="default" w:ascii="Times New Roman" w:hAnsi="Times New Roman" w:cs="Times New Roman"/>
                <w:color w:val="auto"/>
                <w:sz w:val="24"/>
                <w:szCs w:val="24"/>
                <w:lang w:val="en-US" w:eastAsia="zh-CN"/>
              </w:rPr>
              <w:t>调兵山经济开发区南开发区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建设性质为新建</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szCs w:val="24"/>
                <w:lang w:eastAsia="zh-CN"/>
              </w:rPr>
              <w:t>租用沈阳新久利管业股份有限公司厂房</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szCs w:val="24"/>
                <w:lang w:val="en-US" w:eastAsia="zh-CN"/>
              </w:rPr>
              <w:t>项目用地性质为工业用地</w:t>
            </w:r>
            <w:r>
              <w:rPr>
                <w:rFonts w:hint="default" w:ascii="Times New Roman" w:hAnsi="Times New Roman" w:cs="Times New Roman"/>
                <w:color w:val="auto"/>
                <w:kern w:val="0"/>
                <w:sz w:val="24"/>
                <w:szCs w:val="24"/>
              </w:rPr>
              <w:t>。</w:t>
            </w:r>
            <w:r>
              <w:rPr>
                <w:rFonts w:hint="default" w:ascii="Times New Roman" w:hAnsi="Times New Roman" w:cs="Times New Roman"/>
                <w:color w:val="auto"/>
                <w:kern w:val="0"/>
                <w:sz w:val="24"/>
              </w:rPr>
              <w:t>项目厂界东侧为辽宁利有针织服装有限公司</w:t>
            </w:r>
            <w:r>
              <w:rPr>
                <w:rFonts w:hint="default" w:ascii="Times New Roman" w:hAnsi="Times New Roman" w:cs="Times New Roman"/>
                <w:color w:val="auto"/>
                <w:kern w:val="0"/>
                <w:sz w:val="24"/>
                <w:lang w:eastAsia="zh-CN"/>
              </w:rPr>
              <w:t>（厂房闲置）；</w:t>
            </w:r>
            <w:r>
              <w:rPr>
                <w:rFonts w:hint="default" w:ascii="Times New Roman" w:hAnsi="Times New Roman" w:cs="Times New Roman"/>
                <w:color w:val="auto"/>
                <w:kern w:val="0"/>
                <w:sz w:val="24"/>
              </w:rPr>
              <w:t>南</w:t>
            </w:r>
            <w:r>
              <w:rPr>
                <w:rFonts w:hint="default" w:ascii="Times New Roman" w:hAnsi="Times New Roman" w:cs="Times New Roman"/>
                <w:color w:val="auto"/>
                <w:kern w:val="0"/>
                <w:sz w:val="24"/>
                <w:lang w:eastAsia="zh-CN"/>
              </w:rPr>
              <w:t>侧</w:t>
            </w:r>
            <w:r>
              <w:rPr>
                <w:rFonts w:hint="default" w:ascii="Times New Roman" w:hAnsi="Times New Roman" w:cs="Times New Roman"/>
                <w:color w:val="auto"/>
                <w:kern w:val="0"/>
                <w:sz w:val="24"/>
              </w:rPr>
              <w:t>为</w:t>
            </w:r>
            <w:r>
              <w:rPr>
                <w:rFonts w:hint="default" w:ascii="Times New Roman" w:hAnsi="Times New Roman" w:cs="Times New Roman"/>
                <w:color w:val="auto"/>
                <w:kern w:val="0"/>
                <w:sz w:val="24"/>
                <w:lang w:val="en-US" w:eastAsia="zh-CN"/>
              </w:rPr>
              <w:t>弘业路</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隔路为沈阳大辽环境机械装备有限公司；</w:t>
            </w:r>
            <w:r>
              <w:rPr>
                <w:rFonts w:hint="default" w:ascii="Times New Roman" w:hAnsi="Times New Roman" w:cs="Times New Roman"/>
                <w:color w:val="auto"/>
                <w:kern w:val="0"/>
                <w:sz w:val="24"/>
              </w:rPr>
              <w:t>西侧</w:t>
            </w:r>
            <w:r>
              <w:rPr>
                <w:rFonts w:hint="default" w:ascii="Times New Roman" w:hAnsi="Times New Roman" w:cs="Times New Roman"/>
                <w:color w:val="auto"/>
                <w:kern w:val="0"/>
                <w:sz w:val="24"/>
                <w:lang w:val="en-US" w:eastAsia="zh-CN"/>
              </w:rPr>
              <w:t>为闲置厂房；北侧为</w:t>
            </w:r>
            <w:r>
              <w:rPr>
                <w:rFonts w:hint="eastAsia" w:cs="Times New Roman"/>
                <w:color w:val="auto"/>
                <w:kern w:val="0"/>
                <w:sz w:val="24"/>
                <w:lang w:val="en-US" w:eastAsia="zh-CN"/>
              </w:rPr>
              <w:t>耕地及</w:t>
            </w:r>
            <w:r>
              <w:rPr>
                <w:rFonts w:hint="default" w:ascii="Times New Roman" w:hAnsi="Times New Roman" w:cs="Times New Roman"/>
                <w:color w:val="auto"/>
                <w:kern w:val="0"/>
                <w:sz w:val="24"/>
                <w:lang w:val="en-US" w:eastAsia="zh-CN"/>
              </w:rPr>
              <w:t>望山村</w:t>
            </w:r>
            <w:r>
              <w:rPr>
                <w:rFonts w:hint="default" w:ascii="Times New Roman" w:hAnsi="Times New Roman" w:cs="Times New Roman"/>
                <w:color w:val="auto"/>
                <w:sz w:val="24"/>
                <w:szCs w:val="24"/>
                <w:lang w:val="en-US" w:eastAsia="zh-CN"/>
              </w:rPr>
              <w:t>，最近民房距厂界1米，根据现场踏勘，该民房无人居住，为看护房。厂界50米范围内有1户常住居民，距厂界距离为39米。本项目产生的污染物在采取相应的环保措施后均可达标排放，对周边环境及敏感目标的影响不大。</w:t>
            </w:r>
            <w:r>
              <w:rPr>
                <w:rFonts w:hint="default" w:ascii="Times New Roman" w:hAnsi="Times New Roman" w:cs="Times New Roman"/>
                <w:color w:val="auto"/>
                <w:sz w:val="24"/>
                <w:szCs w:val="24"/>
              </w:rPr>
              <w:t>同时项目</w:t>
            </w:r>
            <w:r>
              <w:rPr>
                <w:color w:val="auto"/>
                <w:sz w:val="24"/>
                <w:szCs w:val="24"/>
              </w:rPr>
              <w:t>周围</w:t>
            </w:r>
            <w:r>
              <w:rPr>
                <w:rFonts w:hint="eastAsia"/>
                <w:color w:val="auto"/>
                <w:sz w:val="24"/>
                <w:szCs w:val="24"/>
              </w:rPr>
              <w:t>500米范围内无</w:t>
            </w:r>
            <w:r>
              <w:rPr>
                <w:color w:val="auto"/>
                <w:sz w:val="24"/>
                <w:szCs w:val="24"/>
              </w:rPr>
              <w:t>无饮用水源保护区、自然保护区、名胜风景区、生态环境敏感区等敏感目标。</w:t>
            </w:r>
            <w:r>
              <w:rPr>
                <w:rFonts w:ascii="宋体" w:hAnsi="宋体"/>
                <w:color w:val="auto"/>
                <w:sz w:val="24"/>
                <w:szCs w:val="24"/>
              </w:rPr>
              <w:t>因此，本项目的选址合理可行。</w:t>
            </w:r>
          </w:p>
          <w:p w14:paraId="013B00A5">
            <w:pPr>
              <w:pStyle w:val="4"/>
              <w:spacing w:before="0" w:after="0"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与“三线一单”符合性分析</w:t>
            </w:r>
          </w:p>
          <w:p w14:paraId="55D9DDE2">
            <w:pPr>
              <w:spacing w:line="480" w:lineRule="exact"/>
              <w:ind w:firstLine="480" w:firstLineChars="200"/>
              <w:rPr>
                <w:rFonts w:hint="default" w:ascii="宋体" w:hAnsi="宋体"/>
                <w:color w:val="auto"/>
                <w:sz w:val="24"/>
                <w:szCs w:val="24"/>
              </w:rPr>
            </w:pPr>
            <w:r>
              <w:rPr>
                <w:rFonts w:hint="default" w:ascii="Times New Roman" w:hAnsi="Times New Roman" w:eastAsia="宋体" w:cs="Times New Roman"/>
                <w:color w:val="auto"/>
                <w:sz w:val="24"/>
                <w:szCs w:val="24"/>
              </w:rPr>
              <w:t>根据《关于以改善环境质量为核心加强环境影响评价管理的通知》的要求，切实加强环境影响评价管理 ，落实“生态保护红线、环境质量底线、资源利用上线和生态环境准入清单”（以下简称“三线一单”）约束，建立项目环评审批与规划环评、现有项目环境管理、区域环境质量联动机制（以下简称“三挂钩”机制），更好地发挥环评制度从源头防范环境污染和生态破坏的作</w:t>
            </w:r>
          </w:p>
        </w:tc>
      </w:tr>
      <w:tr w14:paraId="0F30A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34" w:hRule="atLeast"/>
        </w:trPr>
        <w:tc>
          <w:tcPr>
            <w:tcW w:w="1535" w:type="dxa"/>
            <w:noWrap w:val="0"/>
            <w:vAlign w:val="center"/>
          </w:tcPr>
          <w:p w14:paraId="4744E44E">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8129" w:type="dxa"/>
            <w:gridSpan w:val="3"/>
            <w:noWrap w:val="0"/>
            <w:vAlign w:val="top"/>
          </w:tcPr>
          <w:p w14:paraId="032CD0F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用，</w:t>
            </w:r>
            <w:r>
              <w:rPr>
                <w:rFonts w:hint="default" w:ascii="Times New Roman" w:hAnsi="Times New Roman" w:eastAsia="宋体" w:cs="Times New Roman"/>
                <w:color w:val="auto"/>
                <w:sz w:val="24"/>
                <w:szCs w:val="24"/>
              </w:rPr>
              <w:t>加快推进改善环境质量。具体如下表 1-5。</w:t>
            </w:r>
          </w:p>
          <w:p w14:paraId="1D41F0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项目与“三线一单”符合性分析</w:t>
            </w:r>
          </w:p>
          <w:tbl>
            <w:tblPr>
              <w:tblStyle w:val="20"/>
              <w:tblW w:w="791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410"/>
              <w:gridCol w:w="2725"/>
              <w:gridCol w:w="751"/>
            </w:tblGrid>
            <w:tr w14:paraId="2E42FA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l2br w:val="nil"/>
                    <w:tr2bl w:val="nil"/>
                  </w:tcBorders>
                  <w:noWrap w:val="0"/>
                  <w:vAlign w:val="center"/>
                </w:tcPr>
                <w:p w14:paraId="5457D723">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名称</w:t>
                  </w:r>
                </w:p>
              </w:tc>
              <w:tc>
                <w:tcPr>
                  <w:tcW w:w="3410" w:type="dxa"/>
                  <w:tcBorders>
                    <w:tl2br w:val="nil"/>
                    <w:tr2bl w:val="nil"/>
                  </w:tcBorders>
                  <w:noWrap w:val="0"/>
                  <w:vAlign w:val="center"/>
                </w:tcPr>
                <w:p w14:paraId="53A7AF3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要求</w:t>
                  </w:r>
                </w:p>
              </w:tc>
              <w:tc>
                <w:tcPr>
                  <w:tcW w:w="2725" w:type="dxa"/>
                  <w:tcBorders>
                    <w:tl2br w:val="nil"/>
                    <w:tr2bl w:val="nil"/>
                  </w:tcBorders>
                  <w:noWrap w:val="0"/>
                  <w:vAlign w:val="center"/>
                </w:tcPr>
                <w:p w14:paraId="2F16AF4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本项目情况</w:t>
                  </w:r>
                </w:p>
              </w:tc>
              <w:tc>
                <w:tcPr>
                  <w:tcW w:w="751" w:type="dxa"/>
                  <w:tcBorders>
                    <w:tl2br w:val="nil"/>
                    <w:tr2bl w:val="nil"/>
                  </w:tcBorders>
                  <w:noWrap w:val="0"/>
                  <w:vAlign w:val="center"/>
                </w:tcPr>
                <w:p w14:paraId="30020136">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符合情况</w:t>
                  </w:r>
                </w:p>
              </w:tc>
            </w:tr>
            <w:tr w14:paraId="296BB9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l2br w:val="nil"/>
                    <w:tr2bl w:val="nil"/>
                  </w:tcBorders>
                  <w:noWrap w:val="0"/>
                  <w:vAlign w:val="center"/>
                </w:tcPr>
                <w:p w14:paraId="1157FEC1">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生态保护红线</w:t>
                  </w:r>
                </w:p>
              </w:tc>
              <w:tc>
                <w:tcPr>
                  <w:tcW w:w="3410" w:type="dxa"/>
                  <w:tcBorders>
                    <w:tl2br w:val="nil"/>
                    <w:tr2bl w:val="nil"/>
                  </w:tcBorders>
                  <w:noWrap w:val="0"/>
                  <w:vAlign w:val="center"/>
                </w:tcPr>
                <w:p w14:paraId="1304A8D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“生态保护红线 ”是生态空间范围内具有特殊重要生态功能必须实行强制性严格保护的区域。相关规划环评应将生态空间管控作为重要内容，规划区域涉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725" w:type="dxa"/>
                  <w:tcBorders>
                    <w:tl2br w:val="nil"/>
                    <w:tr2bl w:val="nil"/>
                  </w:tcBorders>
                  <w:noWrap w:val="0"/>
                  <w:vAlign w:val="center"/>
                </w:tcPr>
                <w:p w14:paraId="7EA8C894">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本项目位于辽宁省铁岭市调兵山</w:t>
                  </w:r>
                  <w:r>
                    <w:rPr>
                      <w:rFonts w:hint="eastAsia" w:ascii="Times New Roman" w:hAnsi="Times New Roman" w:eastAsia="宋体" w:cs="Times New Roman"/>
                      <w:color w:val="auto"/>
                      <w:kern w:val="2"/>
                      <w:sz w:val="21"/>
                      <w:szCs w:val="21"/>
                      <w:lang w:val="en-US" w:eastAsia="zh-CN" w:bidi="ar-SA"/>
                    </w:rPr>
                    <w:t>经济开发</w:t>
                  </w:r>
                  <w:r>
                    <w:rPr>
                      <w:rFonts w:hint="eastAsia" w:ascii="Times New Roman" w:hAnsi="Times New Roman" w:eastAsia="宋体" w:cs="Times New Roman"/>
                      <w:color w:val="auto"/>
                      <w:kern w:val="2"/>
                      <w:sz w:val="21"/>
                      <w:szCs w:val="21"/>
                      <w:highlight w:val="none"/>
                      <w:lang w:val="en-US" w:eastAsia="zh-CN" w:bidi="ar-SA"/>
                    </w:rPr>
                    <w:t>区</w:t>
                  </w:r>
                  <w:r>
                    <w:rPr>
                      <w:rFonts w:hint="default" w:ascii="Times New Roman" w:hAnsi="Times New Roman" w:eastAsia="宋体" w:cs="Times New Roman"/>
                      <w:color w:val="auto"/>
                      <w:kern w:val="2"/>
                      <w:sz w:val="21"/>
                      <w:szCs w:val="21"/>
                      <w:highlight w:val="none"/>
                      <w:lang w:val="en-US" w:eastAsia="zh-CN" w:bidi="ar-SA"/>
                    </w:rPr>
                    <w:t>南</w:t>
                  </w:r>
                  <w:r>
                    <w:rPr>
                      <w:rFonts w:hint="eastAsia" w:ascii="Times New Roman" w:hAnsi="Times New Roman" w:eastAsia="宋体" w:cs="Times New Roman"/>
                      <w:color w:val="auto"/>
                      <w:kern w:val="2"/>
                      <w:sz w:val="21"/>
                      <w:szCs w:val="21"/>
                      <w:highlight w:val="none"/>
                      <w:lang w:val="en-US" w:eastAsia="zh-CN" w:bidi="ar-SA"/>
                    </w:rPr>
                    <w:t>开发区</w:t>
                  </w:r>
                  <w:r>
                    <w:rPr>
                      <w:rFonts w:hint="default" w:ascii="Times New Roman" w:hAnsi="Times New Roman" w:eastAsia="宋体" w:cs="Times New Roman"/>
                      <w:color w:val="auto"/>
                      <w:kern w:val="2"/>
                      <w:sz w:val="21"/>
                      <w:szCs w:val="21"/>
                      <w:highlight w:val="none"/>
                      <w:lang w:val="en-US" w:eastAsia="zh-CN" w:bidi="ar-SA"/>
                    </w:rPr>
                    <w:t>，不在生态保护红线范围内，</w:t>
                  </w:r>
                  <w:r>
                    <w:rPr>
                      <w:rFonts w:hint="eastAsia" w:ascii="Times New Roman" w:hAnsi="Times New Roman" w:eastAsia="宋体" w:cs="Times New Roman"/>
                      <w:color w:val="auto"/>
                      <w:kern w:val="2"/>
                      <w:sz w:val="21"/>
                      <w:szCs w:val="21"/>
                      <w:highlight w:val="none"/>
                      <w:lang w:val="en-US" w:eastAsia="zh-CN" w:bidi="ar-SA"/>
                    </w:rPr>
                    <w:t>（见附图</w:t>
                  </w:r>
                  <w:r>
                    <w:rPr>
                      <w:rFonts w:hint="eastAsia" w:ascii="Times New Roman" w:hAnsi="Times New Roman" w:cs="Times New Roman"/>
                      <w:color w:val="auto"/>
                      <w:kern w:val="2"/>
                      <w:sz w:val="21"/>
                      <w:szCs w:val="21"/>
                      <w:highlight w:val="none"/>
                      <w:lang w:val="en-US" w:eastAsia="zh-CN" w:bidi="ar-SA"/>
                    </w:rPr>
                    <w:t>5</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符合生</w:t>
                  </w:r>
                  <w:r>
                    <w:rPr>
                      <w:rFonts w:hint="default" w:ascii="Times New Roman" w:hAnsi="Times New Roman" w:eastAsia="宋体" w:cs="Times New Roman"/>
                      <w:color w:val="auto"/>
                      <w:kern w:val="2"/>
                      <w:sz w:val="21"/>
                      <w:szCs w:val="21"/>
                      <w:lang w:val="en-US" w:eastAsia="zh-CN" w:bidi="ar-SA"/>
                    </w:rPr>
                    <w:t>态保护红线要求。</w:t>
                  </w:r>
                </w:p>
              </w:tc>
              <w:tc>
                <w:tcPr>
                  <w:tcW w:w="751" w:type="dxa"/>
                  <w:tcBorders>
                    <w:tl2br w:val="nil"/>
                    <w:tr2bl w:val="nil"/>
                  </w:tcBorders>
                  <w:noWrap w:val="0"/>
                  <w:vAlign w:val="center"/>
                </w:tcPr>
                <w:p w14:paraId="2B3C5AD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2B9CCBB">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770920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l2br w:val="nil"/>
                    <w:tr2bl w:val="nil"/>
                  </w:tcBorders>
                  <w:noWrap w:val="0"/>
                  <w:vAlign w:val="center"/>
                </w:tcPr>
                <w:p w14:paraId="40E262E7">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资源利用上线</w:t>
                  </w:r>
                </w:p>
              </w:tc>
              <w:tc>
                <w:tcPr>
                  <w:tcW w:w="3410" w:type="dxa"/>
                  <w:tcBorders>
                    <w:tl2br w:val="nil"/>
                    <w:tr2bl w:val="nil"/>
                  </w:tcBorders>
                  <w:noWrap w:val="0"/>
                  <w:vAlign w:val="center"/>
                </w:tcPr>
                <w:p w14:paraId="183F364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资源是环境的载体，“资源利用上线 ”地区能源、水、土地等资源消耗不得突破的“天花板” 。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725" w:type="dxa"/>
                  <w:tcBorders>
                    <w:tl2br w:val="nil"/>
                    <w:tr2bl w:val="nil"/>
                  </w:tcBorders>
                  <w:noWrap w:val="0"/>
                  <w:vAlign w:val="center"/>
                </w:tcPr>
                <w:p w14:paraId="758E047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本项目用水为园区管网提供；用电为市政电网提供；</w:t>
                  </w:r>
                  <w:r>
                    <w:rPr>
                      <w:rFonts w:hint="eastAsia" w:ascii="Times New Roman" w:hAnsi="Times New Roman" w:eastAsia="宋体" w:cs="Times New Roman"/>
                      <w:color w:val="auto"/>
                      <w:kern w:val="2"/>
                      <w:sz w:val="21"/>
                      <w:szCs w:val="21"/>
                      <w:lang w:val="en-US" w:eastAsia="zh-CN" w:bidi="ar-SA"/>
                    </w:rPr>
                    <w:t>无其他燃料使用。</w:t>
                  </w:r>
                  <w:r>
                    <w:rPr>
                      <w:rFonts w:hint="default" w:ascii="Times New Roman" w:hAnsi="Times New Roman" w:eastAsia="宋体" w:cs="Times New Roman"/>
                      <w:color w:val="auto"/>
                      <w:kern w:val="2"/>
                      <w:sz w:val="21"/>
                      <w:szCs w:val="21"/>
                      <w:lang w:val="en-US" w:eastAsia="zh-CN" w:bidi="ar-SA"/>
                    </w:rPr>
                    <w:t>本项目建成运行后通过内部管理、设备选择、原辅材料的选用和管理、废物回收利用有效地控制污染。项目的资源利用不会突破区域的资源利用上线。</w:t>
                  </w:r>
                </w:p>
              </w:tc>
              <w:tc>
                <w:tcPr>
                  <w:tcW w:w="751" w:type="dxa"/>
                  <w:tcBorders>
                    <w:tl2br w:val="nil"/>
                    <w:tr2bl w:val="nil"/>
                  </w:tcBorders>
                  <w:noWrap w:val="0"/>
                  <w:vAlign w:val="center"/>
                </w:tcPr>
                <w:p w14:paraId="35178F9F">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50D381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8569FA8">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C65503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512239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7FD9A8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251E94B">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02DCEED">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2A4EED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l2br w:val="nil"/>
                    <w:tr2bl w:val="nil"/>
                  </w:tcBorders>
                  <w:noWrap w:val="0"/>
                  <w:vAlign w:val="center"/>
                </w:tcPr>
                <w:p w14:paraId="6322F256">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环境质量底线</w:t>
                  </w:r>
                </w:p>
              </w:tc>
              <w:tc>
                <w:tcPr>
                  <w:tcW w:w="3410" w:type="dxa"/>
                  <w:tcBorders>
                    <w:tl2br w:val="nil"/>
                    <w:tr2bl w:val="nil"/>
                  </w:tcBorders>
                  <w:noWrap w:val="0"/>
                  <w:vAlign w:val="center"/>
                </w:tcPr>
                <w:p w14:paraId="2953737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725" w:type="dxa"/>
                  <w:tcBorders>
                    <w:tl2br w:val="nil"/>
                    <w:tr2bl w:val="nil"/>
                  </w:tcBorders>
                  <w:noWrap w:val="0"/>
                  <w:vAlign w:val="center"/>
                </w:tcPr>
                <w:p w14:paraId="417800F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项目所在区域环境空气属于达标区。</w:t>
                  </w:r>
                  <w:r>
                    <w:rPr>
                      <w:rFonts w:hint="eastAsia" w:ascii="Times New Roman" w:hAnsi="Times New Roman" w:cs="Times New Roman"/>
                      <w:color w:val="auto"/>
                      <w:kern w:val="2"/>
                      <w:sz w:val="21"/>
                      <w:szCs w:val="21"/>
                      <w:lang w:val="en-US" w:eastAsia="zh-CN" w:bidi="ar-SA"/>
                    </w:rPr>
                    <w:t>地表水环境满足要求。</w:t>
                  </w:r>
                  <w:r>
                    <w:rPr>
                      <w:rFonts w:hint="default" w:ascii="Times New Roman" w:hAnsi="Times New Roman" w:eastAsia="宋体" w:cs="Times New Roman"/>
                      <w:color w:val="auto"/>
                      <w:kern w:val="2"/>
                      <w:sz w:val="21"/>
                      <w:szCs w:val="21"/>
                      <w:lang w:val="en-US" w:eastAsia="zh-CN" w:bidi="ar-SA"/>
                    </w:rPr>
                    <w:t>项目运营期采取环评提出的污染防治措施后，废气及废水均可达标排放。本项目建设不会改变区域环境质量现状，满足“环境质量底线 ”的要求</w:t>
                  </w:r>
                  <w:r>
                    <w:rPr>
                      <w:rFonts w:hint="eastAsia" w:ascii="Times New Roman" w:hAnsi="Times New Roman" w:eastAsia="宋体" w:cs="Times New Roman"/>
                      <w:color w:val="auto"/>
                      <w:kern w:val="2"/>
                      <w:sz w:val="21"/>
                      <w:szCs w:val="21"/>
                      <w:lang w:val="en-US" w:eastAsia="zh-CN" w:bidi="ar-SA"/>
                    </w:rPr>
                    <w:t>。</w:t>
                  </w:r>
                </w:p>
              </w:tc>
              <w:tc>
                <w:tcPr>
                  <w:tcW w:w="751" w:type="dxa"/>
                  <w:tcBorders>
                    <w:tl2br w:val="nil"/>
                    <w:tr2bl w:val="nil"/>
                  </w:tcBorders>
                  <w:noWrap w:val="0"/>
                  <w:vAlign w:val="center"/>
                </w:tcPr>
                <w:p w14:paraId="2C02DB3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85D4C0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25A51B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BD79396">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1BB24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64F7AF0">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14736F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A94F959">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7AA09D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l2br w:val="nil"/>
                    <w:tr2bl w:val="nil"/>
                  </w:tcBorders>
                  <w:noWrap w:val="0"/>
                  <w:vAlign w:val="center"/>
                </w:tcPr>
                <w:p w14:paraId="41AC0975">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生态环境准入 清单</w:t>
                  </w:r>
                </w:p>
              </w:tc>
              <w:tc>
                <w:tcPr>
                  <w:tcW w:w="3410" w:type="dxa"/>
                  <w:tcBorders>
                    <w:tl2br w:val="nil"/>
                    <w:tr2bl w:val="nil"/>
                  </w:tcBorders>
                  <w:noWrap w:val="0"/>
                  <w:vAlign w:val="center"/>
                </w:tcPr>
                <w:p w14:paraId="1E5587BC">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目前项目选址区域暂无明确的 环境准入负面清单</w:t>
                  </w:r>
                </w:p>
              </w:tc>
              <w:tc>
                <w:tcPr>
                  <w:tcW w:w="2725" w:type="dxa"/>
                  <w:tcBorders>
                    <w:tl2br w:val="nil"/>
                    <w:tr2bl w:val="nil"/>
                  </w:tcBorders>
                  <w:noWrap w:val="0"/>
                  <w:vAlign w:val="center"/>
                </w:tcPr>
                <w:p w14:paraId="728A7C6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本项目不属于高污染、高能耗项目，不在《市场准入负面清单（2022 年版）》内。</w:t>
                  </w:r>
                </w:p>
              </w:tc>
              <w:tc>
                <w:tcPr>
                  <w:tcW w:w="751" w:type="dxa"/>
                  <w:tcBorders>
                    <w:tl2br w:val="nil"/>
                    <w:tr2bl w:val="nil"/>
                  </w:tcBorders>
                  <w:noWrap w:val="0"/>
                  <w:vAlign w:val="center"/>
                </w:tcPr>
                <w:p w14:paraId="5736A92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82145AF">
                  <w:pPr>
                    <w:pStyle w:val="81"/>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543122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综上，本项目符合《关于以改善环境质量为核心加强环境影响评价管理的通知》（环环评〔2016〕150号）中“三线一单”相关要求。</w:t>
            </w:r>
          </w:p>
          <w:p w14:paraId="19EF1732">
            <w:pPr>
              <w:autoSpaceDE w:val="0"/>
              <w:autoSpaceDN w:val="0"/>
              <w:spacing w:line="360" w:lineRule="auto"/>
              <w:rPr>
                <w:rFonts w:hint="eastAsia"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4、本项目与《铁岭市人民政府关于实施“三线一单”生态环境 分区管控的意见》（铁政发〔2021〕8 号）相符性分析</w:t>
            </w:r>
          </w:p>
          <w:p w14:paraId="1174A25C">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根据《铁岭市人民政府关于实施“三线一单 ”生态环境分区管控的意见》（铁政发〔2021〕8 号），铁岭市有12个优先保护单元、7个重点管控单元，1个一般管控单元。</w:t>
            </w:r>
          </w:p>
          <w:p w14:paraId="3849B96F">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1、优先保护单元。以生态环境保护优先为原则，禁止或限制大规模、高强度的工业和城镇建设，严守生态环境底线，确保生态功能不降低。</w:t>
            </w:r>
          </w:p>
          <w:p w14:paraId="2B80FAFF">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2、重点管控单元。工业聚集区以推动产业转型升级、强化污染 减排、提升资源利用效率为重点；人口集中区以有效降低资源环境负荷、强化精细化管理为重点；环境质量超标区域以加强环境污染治理、防控生态环境风险为重点。</w:t>
            </w:r>
          </w:p>
          <w:p w14:paraId="3CD6221C">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3、一般管控单元。以促进生产、生活、生态功能的协调融合为导向，执行生态环境保护的基本要求。根据资源环境承载能力，引导产业科学布局，合理控制开发强度，维护生态环境功能稳定。</w:t>
            </w:r>
          </w:p>
          <w:p w14:paraId="7D757033">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w:t>
            </w:r>
            <w:r>
              <w:rPr>
                <w:rFonts w:hint="eastAsia" w:ascii="Times New Roman" w:hAnsi="Times New Roman" w:eastAsia="宋体" w:cs="Times New Roman"/>
                <w:color w:val="auto"/>
                <w:kern w:val="2"/>
                <w:sz w:val="24"/>
                <w:szCs w:val="24"/>
                <w:lang w:val="en-US" w:eastAsia="zh-CN" w:bidi="ar-SA"/>
              </w:rPr>
              <w:t>调兵山市经济开发区南开发区</w:t>
            </w:r>
            <w:r>
              <w:rPr>
                <w:rFonts w:hint="default" w:ascii="Times New Roman" w:hAnsi="Times New Roman" w:eastAsia="宋体" w:cs="Times New Roman"/>
                <w:color w:val="auto"/>
                <w:kern w:val="2"/>
                <w:sz w:val="24"/>
                <w:szCs w:val="24"/>
                <w:lang w:val="en-US" w:eastAsia="zh-CN" w:bidi="ar-SA"/>
              </w:rPr>
              <w:t>，根据辽宁省“三线一单 ”生态环境分区管控公共查询平台查询得知，本项目为重点管控区，管控编码为ZH21128120001</w:t>
            </w:r>
            <w:r>
              <w:rPr>
                <w:rFonts w:hint="eastAsia" w:ascii="Times New Roman" w:hAnsi="Times New Roman"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（“三线一单”查询结果见</w:t>
            </w:r>
            <w:r>
              <w:rPr>
                <w:rFonts w:hint="eastAsia" w:ascii="Times New Roman" w:hAnsi="Times New Roman" w:cs="Times New Roman"/>
                <w:color w:val="auto"/>
                <w:kern w:val="2"/>
                <w:sz w:val="24"/>
                <w:szCs w:val="24"/>
                <w:lang w:val="en-US" w:eastAsia="zh-CN" w:bidi="ar-SA"/>
              </w:rPr>
              <w:t>附图6</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w:t>
            </w:r>
          </w:p>
          <w:p w14:paraId="6BE3B6D3">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对照《铁岭市人民政府关于实施“三线一单”生态环境分区管控的意见》，本项目与 “铁岭市各管控单元准入清单 ”相符性分析见下表1-6叙述。</w:t>
            </w:r>
          </w:p>
          <w:p w14:paraId="31CF5EAA">
            <w:pPr>
              <w:pStyle w:val="28"/>
              <w:keepNext/>
              <w:keepLines/>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240" w:lineRule="auto"/>
              <w:jc w:val="center"/>
              <w:textAlignment w:val="baseline"/>
              <w:rPr>
                <w:b/>
                <w:bCs/>
                <w:spacing w:val="7"/>
                <w:sz w:val="21"/>
                <w:szCs w:val="21"/>
              </w:rPr>
            </w:pPr>
            <w:r>
              <w:rPr>
                <w:b/>
                <w:bCs/>
                <w:spacing w:val="7"/>
                <w:sz w:val="21"/>
                <w:szCs w:val="21"/>
              </w:rPr>
              <w:t>表</w:t>
            </w:r>
            <w:r>
              <w:rPr>
                <w:spacing w:val="-32"/>
                <w:sz w:val="21"/>
                <w:szCs w:val="21"/>
              </w:rPr>
              <w:t xml:space="preserve"> </w:t>
            </w:r>
            <w:r>
              <w:rPr>
                <w:rFonts w:ascii="Times New Roman" w:hAnsi="Times New Roman" w:eastAsia="Times New Roman" w:cs="Times New Roman"/>
                <w:b/>
                <w:bCs/>
                <w:spacing w:val="7"/>
                <w:sz w:val="21"/>
                <w:szCs w:val="21"/>
              </w:rPr>
              <w:t xml:space="preserve">1-6  </w:t>
            </w:r>
            <w:r>
              <w:rPr>
                <w:b/>
                <w:bCs/>
                <w:spacing w:val="7"/>
                <w:sz w:val="21"/>
                <w:szCs w:val="21"/>
              </w:rPr>
              <w:t>本项目与《铁岭市人民政府关于实施</w:t>
            </w:r>
            <w:r>
              <w:rPr>
                <w:rFonts w:ascii="Times New Roman" w:hAnsi="Times New Roman" w:eastAsia="Times New Roman" w:cs="Times New Roman"/>
                <w:b/>
                <w:bCs/>
                <w:spacing w:val="7"/>
                <w:sz w:val="21"/>
                <w:szCs w:val="21"/>
              </w:rPr>
              <w:t>“</w:t>
            </w:r>
            <w:r>
              <w:rPr>
                <w:b/>
                <w:bCs/>
                <w:spacing w:val="7"/>
                <w:sz w:val="21"/>
                <w:szCs w:val="21"/>
              </w:rPr>
              <w:t>三线一单</w:t>
            </w:r>
            <w:r>
              <w:rPr>
                <w:rFonts w:ascii="Times New Roman" w:hAnsi="Times New Roman" w:eastAsia="Times New Roman" w:cs="Times New Roman"/>
                <w:b/>
                <w:bCs/>
                <w:spacing w:val="7"/>
                <w:sz w:val="21"/>
                <w:szCs w:val="21"/>
              </w:rPr>
              <w:t>”</w:t>
            </w:r>
            <w:r>
              <w:rPr>
                <w:b/>
                <w:bCs/>
                <w:spacing w:val="7"/>
                <w:sz w:val="21"/>
                <w:szCs w:val="21"/>
              </w:rPr>
              <w:t>生态环境分区管控的意见》相符性分析</w:t>
            </w:r>
          </w:p>
          <w:tbl>
            <w:tblPr>
              <w:tblStyle w:val="20"/>
              <w:tblW w:w="79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082"/>
              <w:gridCol w:w="3022"/>
              <w:gridCol w:w="680"/>
            </w:tblGrid>
            <w:tr w14:paraId="044510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11" w:type="dxa"/>
                  <w:gridSpan w:val="2"/>
                  <w:tcBorders>
                    <w:tl2br w:val="nil"/>
                    <w:tr2bl w:val="nil"/>
                  </w:tcBorders>
                  <w:noWrap w:val="0"/>
                  <w:vAlign w:val="center"/>
                </w:tcPr>
                <w:p w14:paraId="72BDF56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环境管控单元编码</w:t>
                  </w:r>
                </w:p>
              </w:tc>
              <w:tc>
                <w:tcPr>
                  <w:tcW w:w="3702" w:type="dxa"/>
                  <w:gridSpan w:val="2"/>
                  <w:tcBorders>
                    <w:tl2br w:val="nil"/>
                    <w:tr2bl w:val="nil"/>
                  </w:tcBorders>
                  <w:noWrap w:val="0"/>
                  <w:vAlign w:val="center"/>
                </w:tcPr>
                <w:p w14:paraId="06FEB24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ZH21128120001</w:t>
                  </w:r>
                </w:p>
              </w:tc>
            </w:tr>
            <w:tr w14:paraId="5B40C3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11" w:type="dxa"/>
                  <w:gridSpan w:val="2"/>
                  <w:tcBorders>
                    <w:tl2br w:val="nil"/>
                    <w:tr2bl w:val="nil"/>
                  </w:tcBorders>
                  <w:noWrap w:val="0"/>
                  <w:vAlign w:val="center"/>
                </w:tcPr>
                <w:p w14:paraId="7F5B012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环境管控单元名称</w:t>
                  </w:r>
                </w:p>
              </w:tc>
              <w:tc>
                <w:tcPr>
                  <w:tcW w:w="3702" w:type="dxa"/>
                  <w:gridSpan w:val="2"/>
                  <w:tcBorders>
                    <w:tl2br w:val="nil"/>
                    <w:tr2bl w:val="nil"/>
                  </w:tcBorders>
                  <w:noWrap w:val="0"/>
                  <w:vAlign w:val="center"/>
                </w:tcPr>
                <w:p w14:paraId="571C55F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调兵山经济开发区</w:t>
                  </w:r>
                </w:p>
              </w:tc>
            </w:tr>
            <w:tr w14:paraId="4B0F5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11" w:type="dxa"/>
                  <w:gridSpan w:val="2"/>
                  <w:tcBorders>
                    <w:tl2br w:val="nil"/>
                    <w:tr2bl w:val="nil"/>
                  </w:tcBorders>
                  <w:noWrap w:val="0"/>
                  <w:vAlign w:val="center"/>
                </w:tcPr>
                <w:p w14:paraId="20F1E52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行政区划</w:t>
                  </w:r>
                </w:p>
              </w:tc>
              <w:tc>
                <w:tcPr>
                  <w:tcW w:w="3702" w:type="dxa"/>
                  <w:gridSpan w:val="2"/>
                  <w:tcBorders>
                    <w:tl2br w:val="nil"/>
                    <w:tr2bl w:val="nil"/>
                  </w:tcBorders>
                  <w:noWrap w:val="0"/>
                  <w:vAlign w:val="center"/>
                </w:tcPr>
                <w:p w14:paraId="6215088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调兵山市</w:t>
                  </w:r>
                </w:p>
              </w:tc>
            </w:tr>
            <w:tr w14:paraId="0CCFDA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11" w:type="dxa"/>
                  <w:gridSpan w:val="2"/>
                  <w:tcBorders>
                    <w:tl2br w:val="nil"/>
                    <w:tr2bl w:val="nil"/>
                  </w:tcBorders>
                  <w:noWrap w:val="0"/>
                  <w:vAlign w:val="center"/>
                </w:tcPr>
                <w:p w14:paraId="5A61064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管控单元分类</w:t>
                  </w:r>
                </w:p>
              </w:tc>
              <w:tc>
                <w:tcPr>
                  <w:tcW w:w="3702" w:type="dxa"/>
                  <w:gridSpan w:val="2"/>
                  <w:tcBorders>
                    <w:tl2br w:val="nil"/>
                    <w:tr2bl w:val="nil"/>
                  </w:tcBorders>
                  <w:noWrap w:val="0"/>
                  <w:vAlign w:val="center"/>
                </w:tcPr>
                <w:p w14:paraId="516DA4D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重点管控区</w:t>
                  </w:r>
                </w:p>
              </w:tc>
            </w:tr>
            <w:tr w14:paraId="3CF1C3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tcBorders>
                    <w:tl2br w:val="nil"/>
                    <w:tr2bl w:val="nil"/>
                  </w:tcBorders>
                  <w:noWrap w:val="0"/>
                  <w:vAlign w:val="center"/>
                </w:tcPr>
                <w:p w14:paraId="542D5FB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管控要求</w:t>
                  </w:r>
                </w:p>
              </w:tc>
              <w:tc>
                <w:tcPr>
                  <w:tcW w:w="3082" w:type="dxa"/>
                  <w:tcBorders>
                    <w:tl2br w:val="nil"/>
                    <w:tr2bl w:val="nil"/>
                  </w:tcBorders>
                  <w:noWrap w:val="0"/>
                  <w:vAlign w:val="center"/>
                </w:tcPr>
                <w:p w14:paraId="0F8C3BD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准入要求</w:t>
                  </w:r>
                </w:p>
              </w:tc>
              <w:tc>
                <w:tcPr>
                  <w:tcW w:w="3022" w:type="dxa"/>
                  <w:tcBorders>
                    <w:tl2br w:val="nil"/>
                    <w:tr2bl w:val="nil"/>
                  </w:tcBorders>
                  <w:noWrap w:val="0"/>
                  <w:vAlign w:val="center"/>
                </w:tcPr>
                <w:p w14:paraId="1CDD47D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项目情况</w:t>
                  </w:r>
                </w:p>
              </w:tc>
              <w:tc>
                <w:tcPr>
                  <w:tcW w:w="680" w:type="dxa"/>
                  <w:tcBorders>
                    <w:tl2br w:val="nil"/>
                    <w:tr2bl w:val="nil"/>
                  </w:tcBorders>
                  <w:noWrap w:val="0"/>
                  <w:vAlign w:val="center"/>
                </w:tcPr>
                <w:p w14:paraId="61AA452F">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是否符合</w:t>
                  </w:r>
                </w:p>
              </w:tc>
            </w:tr>
            <w:tr w14:paraId="2425A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l2br w:val="nil"/>
                    <w:tr2bl w:val="nil"/>
                  </w:tcBorders>
                  <w:noWrap w:val="0"/>
                  <w:vAlign w:val="center"/>
                </w:tcPr>
                <w:p w14:paraId="7CC457A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空间布局约束</w:t>
                  </w:r>
                </w:p>
              </w:tc>
              <w:tc>
                <w:tcPr>
                  <w:tcW w:w="3082" w:type="dxa"/>
                  <w:tcBorders>
                    <w:tl2br w:val="nil"/>
                    <w:tr2bl w:val="nil"/>
                  </w:tcBorders>
                  <w:noWrap w:val="0"/>
                  <w:vAlign w:val="center"/>
                </w:tcPr>
                <w:p w14:paraId="39551D8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1、符合辽宁省、铁岭市及普适性清单一般性要求</w:t>
                  </w:r>
                </w:p>
              </w:tc>
              <w:tc>
                <w:tcPr>
                  <w:tcW w:w="3022" w:type="dxa"/>
                  <w:tcBorders>
                    <w:tl2br w:val="nil"/>
                    <w:tr2bl w:val="nil"/>
                  </w:tcBorders>
                  <w:noWrap w:val="0"/>
                  <w:vAlign w:val="center"/>
                </w:tcPr>
                <w:p w14:paraId="266424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本项目符合辽宁省、铁岭市及普适性清单一般性要求</w:t>
                  </w:r>
                </w:p>
              </w:tc>
              <w:tc>
                <w:tcPr>
                  <w:tcW w:w="680" w:type="dxa"/>
                  <w:tcBorders>
                    <w:tl2br w:val="nil"/>
                    <w:tr2bl w:val="nil"/>
                  </w:tcBorders>
                  <w:noWrap w:val="0"/>
                  <w:vAlign w:val="center"/>
                </w:tcPr>
                <w:p w14:paraId="4BFEC34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1D80BC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53B1F6F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356856DF">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2、禁止发展高污</w:t>
                  </w:r>
                  <w:r>
                    <w:rPr>
                      <w:rFonts w:hint="eastAsia" w:ascii="Times New Roman" w:hAnsi="Times New Roman" w:eastAsia="宋体" w:cs="Times New Roman"/>
                      <w:color w:val="auto"/>
                      <w:kern w:val="2"/>
                      <w:sz w:val="21"/>
                      <w:szCs w:val="21"/>
                      <w:lang w:val="en-US" w:eastAsia="zh-CN" w:bidi="ar-SA"/>
                    </w:rPr>
                    <w:t>染</w:t>
                  </w:r>
                  <w:r>
                    <w:rPr>
                      <w:rFonts w:hint="default" w:ascii="Times New Roman" w:hAnsi="Times New Roman" w:eastAsia="宋体" w:cs="Times New Roman"/>
                      <w:color w:val="auto"/>
                      <w:kern w:val="2"/>
                      <w:sz w:val="21"/>
                      <w:szCs w:val="21"/>
                      <w:lang w:val="en-US" w:eastAsia="zh-CN" w:bidi="ar-SA"/>
                    </w:rPr>
                    <w:t>产业</w:t>
                  </w:r>
                </w:p>
              </w:tc>
              <w:tc>
                <w:tcPr>
                  <w:tcW w:w="3022" w:type="dxa"/>
                  <w:tcBorders>
                    <w:tl2br w:val="nil"/>
                    <w:tr2bl w:val="nil"/>
                  </w:tcBorders>
                  <w:noWrap w:val="0"/>
                  <w:vAlign w:val="center"/>
                </w:tcPr>
                <w:p w14:paraId="77C76B9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本项目不属于高污染产业</w:t>
                  </w:r>
                </w:p>
              </w:tc>
              <w:tc>
                <w:tcPr>
                  <w:tcW w:w="680" w:type="dxa"/>
                  <w:tcBorders>
                    <w:tl2br w:val="nil"/>
                    <w:tr2bl w:val="nil"/>
                  </w:tcBorders>
                  <w:noWrap w:val="0"/>
                  <w:vAlign w:val="center"/>
                </w:tcPr>
                <w:p w14:paraId="5751386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2FE25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13CB112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4F22B52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3、建设大容量、高效率集中供热锅炉房，禁止建设分散小锅炉房，开发新能源与节能相结合；</w:t>
                  </w:r>
                </w:p>
              </w:tc>
              <w:tc>
                <w:tcPr>
                  <w:tcW w:w="3022" w:type="dxa"/>
                  <w:tcBorders>
                    <w:tl2br w:val="nil"/>
                    <w:tr2bl w:val="nil"/>
                  </w:tcBorders>
                  <w:noWrap w:val="0"/>
                  <w:vAlign w:val="center"/>
                </w:tcPr>
                <w:p w14:paraId="6D94A57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00911D3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本项目不涉及锅炉</w:t>
                  </w:r>
                </w:p>
              </w:tc>
              <w:tc>
                <w:tcPr>
                  <w:tcW w:w="680" w:type="dxa"/>
                  <w:tcBorders>
                    <w:tl2br w:val="nil"/>
                    <w:tr2bl w:val="nil"/>
                  </w:tcBorders>
                  <w:noWrap w:val="0"/>
                  <w:vAlign w:val="center"/>
                </w:tcPr>
                <w:p w14:paraId="1112757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3BA8A5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2357943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393C698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4、严禁高能耗、高排放产业。</w:t>
                  </w:r>
                </w:p>
              </w:tc>
              <w:tc>
                <w:tcPr>
                  <w:tcW w:w="3022" w:type="dxa"/>
                  <w:tcBorders>
                    <w:tl2br w:val="nil"/>
                    <w:tr2bl w:val="nil"/>
                  </w:tcBorders>
                  <w:noWrap w:val="0"/>
                  <w:vAlign w:val="center"/>
                </w:tcPr>
                <w:p w14:paraId="5DB5E13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本项目不属于高能耗、高排放产业</w:t>
                  </w:r>
                  <w:r>
                    <w:rPr>
                      <w:rFonts w:hint="eastAsia" w:ascii="Times New Roman" w:hAnsi="Times New Roman" w:cs="Times New Roman"/>
                      <w:color w:val="auto"/>
                      <w:kern w:val="2"/>
                      <w:sz w:val="21"/>
                      <w:szCs w:val="21"/>
                      <w:lang w:val="en-US" w:eastAsia="zh-CN" w:bidi="ar-SA"/>
                    </w:rPr>
                    <w:t>。</w:t>
                  </w:r>
                </w:p>
              </w:tc>
              <w:tc>
                <w:tcPr>
                  <w:tcW w:w="680" w:type="dxa"/>
                  <w:tcBorders>
                    <w:tl2br w:val="nil"/>
                    <w:tr2bl w:val="nil"/>
                  </w:tcBorders>
                  <w:noWrap w:val="0"/>
                  <w:vAlign w:val="center"/>
                </w:tcPr>
                <w:p w14:paraId="4810734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4A2AA2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l2br w:val="nil"/>
                    <w:tr2bl w:val="nil"/>
                  </w:tcBorders>
                  <w:noWrap w:val="0"/>
                  <w:vAlign w:val="center"/>
                </w:tcPr>
                <w:p w14:paraId="30E7219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污染物排放管控</w:t>
                  </w:r>
                </w:p>
                <w:p w14:paraId="47A90AF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2FD625D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1、进驻园区企业自建污水处理设施，园区企业排放污水符合《室外排水设计规范》、《污水排入城市下水道水质标准》要求；</w:t>
                  </w:r>
                </w:p>
              </w:tc>
              <w:tc>
                <w:tcPr>
                  <w:tcW w:w="3022" w:type="dxa"/>
                  <w:tcBorders>
                    <w:tl2br w:val="nil"/>
                    <w:tr2bl w:val="nil"/>
                  </w:tcBorders>
                  <w:noWrap w:val="0"/>
                  <w:vAlign w:val="center"/>
                </w:tcPr>
                <w:p w14:paraId="3C65446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ascii="宋体" w:hAnsi="宋体" w:eastAsia="宋体" w:cs="宋体"/>
                      <w:spacing w:val="9"/>
                      <w:sz w:val="21"/>
                      <w:szCs w:val="21"/>
                    </w:rPr>
                    <w:t>项目生活污水排入市政管网进入调兵山市污水处理厂</w:t>
                  </w:r>
                  <w:r>
                    <w:rPr>
                      <w:rFonts w:hint="eastAsia" w:ascii="宋体" w:hAnsi="宋体" w:eastAsia="宋体" w:cs="宋体"/>
                      <w:spacing w:val="9"/>
                      <w:sz w:val="21"/>
                      <w:szCs w:val="21"/>
                      <w:lang w:eastAsia="zh-CN"/>
                    </w:rPr>
                    <w:t>，无生产废水排放。</w:t>
                  </w:r>
                </w:p>
              </w:tc>
              <w:tc>
                <w:tcPr>
                  <w:tcW w:w="680" w:type="dxa"/>
                  <w:tcBorders>
                    <w:tl2br w:val="nil"/>
                    <w:tr2bl w:val="nil"/>
                  </w:tcBorders>
                  <w:noWrap w:val="0"/>
                  <w:vAlign w:val="center"/>
                </w:tcPr>
                <w:p w14:paraId="782192D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720E7D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4A15E22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4898BD0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2、大气环境执行《环境空气质量标准》（GB3095-1996）二级标准</w:t>
                  </w:r>
                </w:p>
              </w:tc>
              <w:tc>
                <w:tcPr>
                  <w:tcW w:w="3022" w:type="dxa"/>
                  <w:tcBorders>
                    <w:tl2br w:val="nil"/>
                    <w:tr2bl w:val="nil"/>
                  </w:tcBorders>
                  <w:noWrap w:val="0"/>
                  <w:vAlign w:val="center"/>
                </w:tcPr>
                <w:p w14:paraId="4240D8A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w:t>
                  </w:r>
                  <w:r>
                    <w:rPr>
                      <w:rFonts w:hint="eastAsia" w:ascii="Times New Roman" w:hAnsi="Times New Roman" w:cs="Times New Roman"/>
                      <w:color w:val="auto"/>
                      <w:kern w:val="2"/>
                      <w:sz w:val="21"/>
                      <w:szCs w:val="21"/>
                      <w:highlight w:val="none"/>
                      <w:lang w:val="en-US" w:eastAsia="zh-CN" w:bidi="ar-SA"/>
                    </w:rPr>
                    <w:t>调胶、涂胶、封胶工序产生有机废</w:t>
                  </w:r>
                  <w:r>
                    <w:rPr>
                      <w:rFonts w:hint="default" w:ascii="Times New Roman" w:hAnsi="Times New Roman" w:eastAsia="宋体" w:cs="Times New Roman"/>
                      <w:color w:val="auto"/>
                      <w:kern w:val="2"/>
                      <w:sz w:val="21"/>
                      <w:szCs w:val="21"/>
                      <w:highlight w:val="none"/>
                      <w:lang w:val="en-US" w:eastAsia="zh-CN" w:bidi="ar-SA"/>
                    </w:rPr>
                    <w:t>经二级活性炭</w:t>
                  </w:r>
                  <w:r>
                    <w:rPr>
                      <w:rFonts w:hint="eastAsia" w:ascii="Times New Roman" w:hAnsi="Times New Roman" w:cs="Times New Roman"/>
                      <w:color w:val="auto"/>
                      <w:kern w:val="2"/>
                      <w:sz w:val="21"/>
                      <w:szCs w:val="21"/>
                      <w:highlight w:val="none"/>
                      <w:lang w:val="en-US" w:eastAsia="zh-CN" w:bidi="ar-SA"/>
                    </w:rPr>
                    <w:t>吸附</w:t>
                  </w:r>
                  <w:r>
                    <w:rPr>
                      <w:rFonts w:hint="default" w:ascii="Times New Roman" w:hAnsi="Times New Roman" w:eastAsia="宋体" w:cs="Times New Roman"/>
                      <w:color w:val="auto"/>
                      <w:kern w:val="2"/>
                      <w:sz w:val="21"/>
                      <w:szCs w:val="21"/>
                      <w:highlight w:val="none"/>
                      <w:lang w:val="en-US" w:eastAsia="zh-CN" w:bidi="ar-SA"/>
                    </w:rPr>
                    <w:t>，后由排风机引至15m高排气筒排放；</w:t>
                  </w:r>
                  <w:r>
                    <w:rPr>
                      <w:rFonts w:hint="eastAsia" w:ascii="Times New Roman" w:hAnsi="Times New Roman" w:cs="Times New Roman"/>
                      <w:color w:val="auto"/>
                      <w:kern w:val="2"/>
                      <w:sz w:val="21"/>
                      <w:szCs w:val="21"/>
                      <w:highlight w:val="none"/>
                      <w:lang w:val="en-US" w:eastAsia="zh-CN" w:bidi="ar-SA"/>
                    </w:rPr>
                    <w:t>不会对周边环境造成明显不利影响，环境空气质量能够</w:t>
                  </w:r>
                  <w:r>
                    <w:rPr>
                      <w:rFonts w:hint="default" w:ascii="Times New Roman" w:hAnsi="Times New Roman" w:eastAsia="宋体" w:cs="Times New Roman"/>
                      <w:color w:val="auto"/>
                      <w:kern w:val="2"/>
                      <w:sz w:val="21"/>
                      <w:szCs w:val="21"/>
                      <w:highlight w:val="none"/>
                      <w:lang w:val="en-US" w:eastAsia="zh-CN" w:bidi="ar-SA"/>
                    </w:rPr>
                    <w:t>满足《环境空气质量标准》（GB3095-1996）二级标准。</w:t>
                  </w:r>
                </w:p>
              </w:tc>
              <w:tc>
                <w:tcPr>
                  <w:tcW w:w="680" w:type="dxa"/>
                  <w:tcBorders>
                    <w:tl2br w:val="nil"/>
                    <w:tr2bl w:val="nil"/>
                  </w:tcBorders>
                  <w:noWrap w:val="0"/>
                  <w:vAlign w:val="center"/>
                </w:tcPr>
                <w:p w14:paraId="5CF5189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3D5B49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13E10D2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0BAE103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 、园区周边水体水质达到《地表水环境质量标准》（GB3838-2002）IV 类水质标准，工业废水处理达标率达 90%以上；</w:t>
                  </w:r>
                </w:p>
              </w:tc>
              <w:tc>
                <w:tcPr>
                  <w:tcW w:w="3022" w:type="dxa"/>
                  <w:tcBorders>
                    <w:tl2br w:val="nil"/>
                    <w:tr2bl w:val="nil"/>
                  </w:tcBorders>
                  <w:noWrap w:val="0"/>
                  <w:vAlign w:val="center"/>
                </w:tcPr>
                <w:p w14:paraId="5C3115D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项目周边地表水体长沟河的水环境质量现状符合《地表水环境质量标准》（GB3838-2002）IV类水质标准要求。本项目生产废水主要是打磨清洗用水，全部循环使用，不外排。</w:t>
                  </w:r>
                </w:p>
              </w:tc>
              <w:tc>
                <w:tcPr>
                  <w:tcW w:w="680" w:type="dxa"/>
                  <w:tcBorders>
                    <w:tl2br w:val="nil"/>
                    <w:tr2bl w:val="nil"/>
                  </w:tcBorders>
                  <w:noWrap w:val="0"/>
                  <w:vAlign w:val="center"/>
                </w:tcPr>
                <w:p w14:paraId="41C01BA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014CBB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29" w:type="dxa"/>
                  <w:vMerge w:val="continue"/>
                  <w:tcBorders>
                    <w:tl2br w:val="nil"/>
                    <w:tr2bl w:val="nil"/>
                  </w:tcBorders>
                  <w:noWrap w:val="0"/>
                  <w:vAlign w:val="center"/>
                </w:tcPr>
                <w:p w14:paraId="7867A1A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1377336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4、工业废气符合《大气污染物综合排放标准》（GB16297-1996）中的二级标准，炉窑废气符合《工业炉窑大气污染物排放标准》（GB9078-1996）中的二级标准；</w:t>
                  </w:r>
                </w:p>
              </w:tc>
              <w:tc>
                <w:tcPr>
                  <w:tcW w:w="3022" w:type="dxa"/>
                  <w:tcBorders>
                    <w:tl2br w:val="nil"/>
                    <w:tr2bl w:val="nil"/>
                  </w:tcBorders>
                  <w:noWrap w:val="0"/>
                  <w:vAlign w:val="center"/>
                </w:tcPr>
                <w:p w14:paraId="2835B77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本项目产生有机废气满足《玻璃工业大气污染物排放标准》（GB26453-2022）要求，厂界无组织排放满足《大气污染物综合排放标准》（GB16297-1996）中的二级标准要求。</w:t>
                  </w:r>
                </w:p>
              </w:tc>
              <w:tc>
                <w:tcPr>
                  <w:tcW w:w="680" w:type="dxa"/>
                  <w:tcBorders>
                    <w:tl2br w:val="nil"/>
                    <w:tr2bl w:val="nil"/>
                  </w:tcBorders>
                  <w:noWrap w:val="0"/>
                  <w:vAlign w:val="center"/>
                </w:tcPr>
                <w:p w14:paraId="72ACD57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360FF8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5E12DF0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3C84613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 、SO</w:t>
                  </w:r>
                  <w:r>
                    <w:rPr>
                      <w:rFonts w:hint="default" w:ascii="Times New Roman" w:hAnsi="Times New Roman" w:eastAsia="宋体" w:cs="Times New Roman"/>
                      <w:color w:val="auto"/>
                      <w:kern w:val="2"/>
                      <w:sz w:val="21"/>
                      <w:szCs w:val="21"/>
                      <w:vertAlign w:val="subscript"/>
                      <w:lang w:val="en-US" w:eastAsia="zh-CN" w:bidi="ar-SA"/>
                    </w:rPr>
                    <w:t>2</w:t>
                  </w:r>
                  <w:r>
                    <w:rPr>
                      <w:rFonts w:hint="default" w:ascii="Times New Roman" w:hAnsi="Times New Roman" w:eastAsia="宋体" w:cs="Times New Roman"/>
                      <w:color w:val="auto"/>
                      <w:kern w:val="2"/>
                      <w:sz w:val="21"/>
                      <w:szCs w:val="21"/>
                      <w:lang w:val="en-US" w:eastAsia="zh-CN" w:bidi="ar-SA"/>
                    </w:rPr>
                    <w:t>控制在1120吨/年以内，NO</w:t>
                  </w:r>
                  <w:r>
                    <w:rPr>
                      <w:rFonts w:hint="default" w:ascii="Times New Roman" w:hAnsi="Times New Roman" w:eastAsia="宋体" w:cs="Times New Roman"/>
                      <w:color w:val="auto"/>
                      <w:kern w:val="2"/>
                      <w:sz w:val="21"/>
                      <w:szCs w:val="21"/>
                      <w:vertAlign w:val="subscript"/>
                      <w:lang w:val="en-US" w:eastAsia="zh-CN" w:bidi="ar-SA"/>
                    </w:rPr>
                    <w:t>2</w:t>
                  </w:r>
                  <w:r>
                    <w:rPr>
                      <w:rFonts w:hint="default" w:ascii="Times New Roman" w:hAnsi="Times New Roman" w:eastAsia="宋体" w:cs="Times New Roman"/>
                      <w:color w:val="auto"/>
                      <w:kern w:val="2"/>
                      <w:sz w:val="21"/>
                      <w:szCs w:val="21"/>
                      <w:lang w:val="en-US" w:eastAsia="zh-CN" w:bidi="ar-SA"/>
                    </w:rPr>
                    <w:t>控制在140吨/年以内，PM</w:t>
                  </w:r>
                  <w:r>
                    <w:rPr>
                      <w:rFonts w:hint="default" w:ascii="Times New Roman" w:hAnsi="Times New Roman" w:eastAsia="宋体" w:cs="Times New Roman"/>
                      <w:color w:val="auto"/>
                      <w:kern w:val="2"/>
                      <w:sz w:val="21"/>
                      <w:szCs w:val="21"/>
                      <w:vertAlign w:val="subscript"/>
                      <w:lang w:val="en-US" w:eastAsia="zh-CN" w:bidi="ar-SA"/>
                    </w:rPr>
                    <w:t>10</w:t>
                  </w:r>
                  <w:r>
                    <w:rPr>
                      <w:rFonts w:hint="default" w:ascii="Times New Roman" w:hAnsi="Times New Roman" w:eastAsia="宋体" w:cs="Times New Roman"/>
                      <w:color w:val="auto"/>
                      <w:kern w:val="2"/>
                      <w:sz w:val="21"/>
                      <w:szCs w:val="21"/>
                      <w:lang w:val="en-US" w:eastAsia="zh-CN" w:bidi="ar-SA"/>
                    </w:rPr>
                    <w:t>控制在420吨/ 年以内；COD排放量控制在547.5吨/年以内，氨氮排放量控制 在54.75t/a以内。</w:t>
                  </w:r>
                </w:p>
              </w:tc>
              <w:tc>
                <w:tcPr>
                  <w:tcW w:w="3022" w:type="dxa"/>
                  <w:tcBorders>
                    <w:tl2br w:val="nil"/>
                    <w:tr2bl w:val="nil"/>
                  </w:tcBorders>
                  <w:noWrap w:val="0"/>
                  <w:vAlign w:val="center"/>
                </w:tcPr>
                <w:p w14:paraId="3117F7A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本项目COD总量指标为0.0135t/a，氨氮总量指标为0.00135t/a，排放量较小。</w:t>
                  </w:r>
                </w:p>
              </w:tc>
              <w:tc>
                <w:tcPr>
                  <w:tcW w:w="680" w:type="dxa"/>
                  <w:tcBorders>
                    <w:tl2br w:val="nil"/>
                    <w:tr2bl w:val="nil"/>
                  </w:tcBorders>
                  <w:noWrap w:val="0"/>
                  <w:vAlign w:val="center"/>
                </w:tcPr>
                <w:p w14:paraId="67BA4B7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042020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29" w:type="dxa"/>
                  <w:tcBorders>
                    <w:tl2br w:val="nil"/>
                    <w:tr2bl w:val="nil"/>
                  </w:tcBorders>
                  <w:noWrap w:val="0"/>
                  <w:vAlign w:val="center"/>
                </w:tcPr>
                <w:p w14:paraId="3E30EF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环境风险 防控</w:t>
                  </w:r>
                </w:p>
              </w:tc>
              <w:tc>
                <w:tcPr>
                  <w:tcW w:w="3082" w:type="dxa"/>
                  <w:tcBorders>
                    <w:tl2br w:val="nil"/>
                    <w:tr2bl w:val="nil"/>
                  </w:tcBorders>
                  <w:noWrap w:val="0"/>
                  <w:vAlign w:val="center"/>
                </w:tcPr>
                <w:p w14:paraId="2B7E799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1、制定环境应急预案。</w:t>
                  </w:r>
                </w:p>
              </w:tc>
              <w:tc>
                <w:tcPr>
                  <w:tcW w:w="3022" w:type="dxa"/>
                  <w:tcBorders>
                    <w:tl2br w:val="nil"/>
                    <w:tr2bl w:val="nil"/>
                  </w:tcBorders>
                  <w:noWrap w:val="0"/>
                  <w:vAlign w:val="center"/>
                </w:tcPr>
                <w:p w14:paraId="4039D57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本项目应根据《辽宁省突发环境事件应急预案备案行业名录》及当地环保要求，决定是否编制应急预案。</w:t>
                  </w:r>
                </w:p>
              </w:tc>
              <w:tc>
                <w:tcPr>
                  <w:tcW w:w="680" w:type="dxa"/>
                  <w:tcBorders>
                    <w:tl2br w:val="nil"/>
                    <w:tr2bl w:val="nil"/>
                  </w:tcBorders>
                  <w:noWrap w:val="0"/>
                  <w:vAlign w:val="center"/>
                </w:tcPr>
                <w:p w14:paraId="13F9E8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42DA65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l2br w:val="nil"/>
                    <w:tr2bl w:val="nil"/>
                  </w:tcBorders>
                  <w:noWrap w:val="0"/>
                  <w:vAlign w:val="center"/>
                </w:tcPr>
                <w:p w14:paraId="0414424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资源开发 效率要求</w:t>
                  </w:r>
                </w:p>
              </w:tc>
              <w:tc>
                <w:tcPr>
                  <w:tcW w:w="3082" w:type="dxa"/>
                  <w:tcBorders>
                    <w:tl2br w:val="nil"/>
                    <w:tr2bl w:val="nil"/>
                  </w:tcBorders>
                  <w:noWrap w:val="0"/>
                  <w:vAlign w:val="center"/>
                </w:tcPr>
                <w:p w14:paraId="550FF53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1、调兵山经济开发区面积26km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 xml:space="preserve"> ，其中工业用地总面积 16.21km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w:t>
                  </w:r>
                </w:p>
              </w:tc>
              <w:tc>
                <w:tcPr>
                  <w:tcW w:w="3022" w:type="dxa"/>
                  <w:tcBorders>
                    <w:tl2br w:val="nil"/>
                    <w:tr2bl w:val="nil"/>
                  </w:tcBorders>
                  <w:noWrap w:val="0"/>
                  <w:vAlign w:val="center"/>
                </w:tcPr>
                <w:p w14:paraId="52A9757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本项目属于工业用地</w:t>
                  </w:r>
                </w:p>
              </w:tc>
              <w:tc>
                <w:tcPr>
                  <w:tcW w:w="680" w:type="dxa"/>
                  <w:tcBorders>
                    <w:tl2br w:val="nil"/>
                    <w:tr2bl w:val="nil"/>
                  </w:tcBorders>
                  <w:noWrap w:val="0"/>
                  <w:vAlign w:val="center"/>
                </w:tcPr>
                <w:p w14:paraId="4A577D0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3DDFC2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0BBE3FD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6EE6BD4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2、中水回用率不小于20%；</w:t>
                  </w:r>
                </w:p>
              </w:tc>
              <w:tc>
                <w:tcPr>
                  <w:tcW w:w="3022" w:type="dxa"/>
                  <w:tcBorders>
                    <w:tl2br w:val="nil"/>
                    <w:tr2bl w:val="nil"/>
                  </w:tcBorders>
                  <w:noWrap w:val="0"/>
                  <w:vAlign w:val="center"/>
                </w:tcPr>
                <w:p w14:paraId="263F90F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不涉及</w:t>
                  </w:r>
                </w:p>
              </w:tc>
              <w:tc>
                <w:tcPr>
                  <w:tcW w:w="680" w:type="dxa"/>
                  <w:tcBorders>
                    <w:tl2br w:val="nil"/>
                    <w:tr2bl w:val="nil"/>
                  </w:tcBorders>
                  <w:noWrap w:val="0"/>
                  <w:vAlign w:val="center"/>
                </w:tcPr>
                <w:p w14:paraId="11569F3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1EEBC8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l2br w:val="nil"/>
                    <w:tr2bl w:val="nil"/>
                  </w:tcBorders>
                  <w:noWrap w:val="0"/>
                  <w:vAlign w:val="center"/>
                </w:tcPr>
                <w:p w14:paraId="3F54E48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tc>
              <w:tc>
                <w:tcPr>
                  <w:tcW w:w="3082" w:type="dxa"/>
                  <w:tcBorders>
                    <w:tl2br w:val="nil"/>
                    <w:tr2bl w:val="nil"/>
                  </w:tcBorders>
                  <w:noWrap w:val="0"/>
                  <w:vAlign w:val="center"/>
                </w:tcPr>
                <w:p w14:paraId="3BBF86F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3、工业固体废物综合利用率达90%。</w:t>
                  </w:r>
                </w:p>
              </w:tc>
              <w:tc>
                <w:tcPr>
                  <w:tcW w:w="3022" w:type="dxa"/>
                  <w:tcBorders>
                    <w:tl2br w:val="nil"/>
                    <w:tr2bl w:val="nil"/>
                  </w:tcBorders>
                  <w:noWrap w:val="0"/>
                  <w:vAlign w:val="center"/>
                </w:tcPr>
                <w:p w14:paraId="088BEC7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本项目一般工业固废玻璃边角料、玻璃渣及废铝条等全部收集贮存外售。危险废物废胶桶、废活性炭以及废机油分类收集在危废间暂存，由有资质单位处置。</w:t>
                  </w:r>
                </w:p>
              </w:tc>
              <w:tc>
                <w:tcPr>
                  <w:tcW w:w="680" w:type="dxa"/>
                  <w:tcBorders>
                    <w:tl2br w:val="nil"/>
                    <w:tr2bl w:val="nil"/>
                  </w:tcBorders>
                  <w:noWrap w:val="0"/>
                  <w:vAlign w:val="center"/>
                </w:tcPr>
                <w:p w14:paraId="217B94C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76422132">
            <w:pPr>
              <w:pStyle w:val="81"/>
              <w:keepNext w:val="0"/>
              <w:keepLines w:val="0"/>
              <w:pageBreakBefore w:val="0"/>
              <w:widowControl w:val="0"/>
              <w:kinsoku/>
              <w:wordWrap/>
              <w:overflowPunct/>
              <w:topLinePunct w:val="0"/>
              <w:autoSpaceDE/>
              <w:autoSpaceDN/>
              <w:bidi w:val="0"/>
              <w:adjustRightInd w:val="0"/>
              <w:snapToGrid w:val="0"/>
              <w:spacing w:line="360" w:lineRule="auto"/>
              <w:ind w:left="112" w:firstLine="472"/>
              <w:textAlignment w:val="auto"/>
              <w:rPr>
                <w:sz w:val="24"/>
                <w:szCs w:val="24"/>
              </w:rPr>
            </w:pPr>
            <w:r>
              <w:rPr>
                <w:spacing w:val="-2"/>
                <w:sz w:val="24"/>
                <w:szCs w:val="24"/>
              </w:rPr>
              <w:t>综上所述，本项目符合</w:t>
            </w:r>
            <w:r>
              <w:rPr>
                <w:b/>
                <w:bCs/>
                <w:spacing w:val="-2"/>
              </w:rPr>
              <w:t>《</w:t>
            </w:r>
            <w:r>
              <w:rPr>
                <w:spacing w:val="-2"/>
                <w:sz w:val="24"/>
                <w:szCs w:val="24"/>
              </w:rPr>
              <w:t>铁岭市人民政府关于实施“三</w:t>
            </w:r>
            <w:r>
              <w:rPr>
                <w:spacing w:val="-3"/>
                <w:sz w:val="24"/>
                <w:szCs w:val="24"/>
              </w:rPr>
              <w:t>线一单</w:t>
            </w:r>
            <w:r>
              <w:rPr>
                <w:spacing w:val="-89"/>
                <w:sz w:val="24"/>
                <w:szCs w:val="24"/>
              </w:rPr>
              <w:t xml:space="preserve"> </w:t>
            </w:r>
            <w:r>
              <w:rPr>
                <w:spacing w:val="-3"/>
                <w:sz w:val="24"/>
                <w:szCs w:val="24"/>
              </w:rPr>
              <w:t>”</w:t>
            </w:r>
            <w:r>
              <w:rPr>
                <w:sz w:val="24"/>
                <w:szCs w:val="24"/>
              </w:rPr>
              <w:t xml:space="preserve"> </w:t>
            </w:r>
            <w:r>
              <w:rPr>
                <w:spacing w:val="-5"/>
                <w:sz w:val="24"/>
                <w:szCs w:val="24"/>
              </w:rPr>
              <w:t>生态环境分区管控的意见》的相关要求。</w:t>
            </w:r>
          </w:p>
          <w:p w14:paraId="5CF24B7A">
            <w:pPr>
              <w:pStyle w:val="81"/>
              <w:keepNext w:val="0"/>
              <w:keepLines w:val="0"/>
              <w:pageBreakBefore w:val="0"/>
              <w:widowControl w:val="0"/>
              <w:kinsoku/>
              <w:wordWrap/>
              <w:overflowPunct/>
              <w:topLinePunct w:val="0"/>
              <w:autoSpaceDE/>
              <w:autoSpaceDN/>
              <w:bidi w:val="0"/>
              <w:adjustRightInd w:val="0"/>
              <w:snapToGrid w:val="0"/>
              <w:spacing w:line="360" w:lineRule="auto"/>
              <w:ind w:right="153"/>
              <w:textAlignment w:val="auto"/>
              <w:rPr>
                <w:rFonts w:hint="default" w:ascii="Times New Roman" w:hAnsi="Times New Roman" w:cs="Times New Roman"/>
                <w:sz w:val="24"/>
                <w:szCs w:val="24"/>
              </w:rPr>
            </w:pPr>
            <w:r>
              <w:rPr>
                <w:rFonts w:hint="default" w:ascii="Times New Roman" w:hAnsi="Times New Roman" w:cs="Times New Roman"/>
                <w:b/>
                <w:bCs/>
                <w:spacing w:val="-2"/>
                <w:sz w:val="24"/>
                <w:szCs w:val="24"/>
                <w:lang w:val="en-US" w:eastAsia="zh-CN"/>
              </w:rPr>
              <w:t>5、</w:t>
            </w:r>
            <w:r>
              <w:rPr>
                <w:rFonts w:hint="default" w:ascii="Times New Roman" w:hAnsi="Times New Roman" w:cs="Times New Roman"/>
                <w:b/>
                <w:bCs/>
                <w:spacing w:val="-2"/>
                <w:sz w:val="24"/>
                <w:szCs w:val="24"/>
              </w:rPr>
              <w:t>本项目与《重点行业挥发性有机物综合治理方</w:t>
            </w:r>
            <w:r>
              <w:rPr>
                <w:rFonts w:hint="default" w:ascii="Times New Roman" w:hAnsi="Times New Roman" w:cs="Times New Roman"/>
                <w:b/>
                <w:bCs/>
                <w:spacing w:val="-3"/>
                <w:sz w:val="24"/>
                <w:szCs w:val="24"/>
              </w:rPr>
              <w:t>案》相符性</w:t>
            </w:r>
            <w:r>
              <w:rPr>
                <w:rFonts w:hint="default" w:ascii="Times New Roman" w:hAnsi="Times New Roman" w:cs="Times New Roman"/>
                <w:b/>
                <w:bCs/>
                <w:spacing w:val="-9"/>
                <w:sz w:val="24"/>
                <w:szCs w:val="24"/>
              </w:rPr>
              <w:t>分析</w:t>
            </w:r>
          </w:p>
          <w:p w14:paraId="3B781B36">
            <w:pPr>
              <w:pStyle w:val="81"/>
              <w:keepNext w:val="0"/>
              <w:keepLines w:val="0"/>
              <w:pageBreakBefore w:val="0"/>
              <w:widowControl w:val="0"/>
              <w:kinsoku/>
              <w:wordWrap/>
              <w:overflowPunct/>
              <w:topLinePunct w:val="0"/>
              <w:autoSpaceDE/>
              <w:autoSpaceDN/>
              <w:bidi w:val="0"/>
              <w:adjustRightInd w:val="0"/>
              <w:snapToGrid w:val="0"/>
              <w:spacing w:line="360" w:lineRule="auto"/>
              <w:ind w:left="111" w:right="177" w:firstLine="479"/>
              <w:textAlignment w:val="auto"/>
              <w:rPr>
                <w:sz w:val="24"/>
                <w:szCs w:val="24"/>
              </w:rPr>
            </w:pPr>
            <w:r>
              <w:rPr>
                <w:rFonts w:hint="default" w:ascii="Times New Roman" w:hAnsi="Times New Roman" w:cs="Times New Roman"/>
                <w:spacing w:val="-1"/>
                <w:sz w:val="24"/>
                <w:szCs w:val="24"/>
              </w:rPr>
              <w:t>本项目与《</w:t>
            </w:r>
            <w:r>
              <w:rPr>
                <w:spacing w:val="-1"/>
                <w:sz w:val="24"/>
                <w:szCs w:val="24"/>
              </w:rPr>
              <w:t>重点行业挥发性</w:t>
            </w:r>
            <w:r>
              <w:rPr>
                <w:rFonts w:hint="default" w:ascii="Times New Roman" w:hAnsi="Times New Roman" w:cs="Times New Roman"/>
                <w:spacing w:val="-1"/>
                <w:sz w:val="24"/>
                <w:szCs w:val="24"/>
              </w:rPr>
              <w:t>有机物综合治理方案》环大气</w:t>
            </w:r>
            <w:r>
              <w:rPr>
                <w:rFonts w:hint="default" w:ascii="Times New Roman" w:hAnsi="Times New Roman" w:cs="Times New Roman"/>
                <w:spacing w:val="-1"/>
                <w:sz w:val="24"/>
                <w:szCs w:val="24"/>
                <w:lang w:val="en-US" w:eastAsia="zh-CN"/>
              </w:rPr>
              <w:t>[</w:t>
            </w:r>
            <w:r>
              <w:rPr>
                <w:rFonts w:hint="default" w:ascii="Times New Roman" w:hAnsi="Times New Roman" w:cs="Times New Roman"/>
                <w:spacing w:val="-1"/>
                <w:sz w:val="24"/>
                <w:szCs w:val="24"/>
              </w:rPr>
              <w:t>2019</w:t>
            </w:r>
            <w:r>
              <w:rPr>
                <w:rFonts w:hint="default" w:ascii="Times New Roman" w:hAnsi="Times New Roman" w:cs="Times New Roman"/>
                <w:spacing w:val="-1"/>
                <w:sz w:val="24"/>
                <w:szCs w:val="24"/>
                <w:lang w:val="en-US" w:eastAsia="zh-CN"/>
              </w:rPr>
              <w:t>]</w:t>
            </w:r>
            <w:r>
              <w:rPr>
                <w:rFonts w:hint="default" w:ascii="Times New Roman" w:hAnsi="Times New Roman" w:cs="Times New Roman"/>
                <w:spacing w:val="-1"/>
                <w:sz w:val="24"/>
                <w:szCs w:val="24"/>
              </w:rPr>
              <w:t>53号的相符性分</w:t>
            </w:r>
            <w:r>
              <w:rPr>
                <w:rFonts w:hint="default" w:ascii="Times New Roman" w:hAnsi="Times New Roman" w:cs="Times New Roman"/>
                <w:spacing w:val="-5"/>
                <w:sz w:val="24"/>
                <w:szCs w:val="24"/>
              </w:rPr>
              <w:t>析见下表</w:t>
            </w:r>
            <w:r>
              <w:rPr>
                <w:rFonts w:hint="default" w:ascii="Times New Roman" w:hAnsi="Times New Roman" w:cs="Times New Roman"/>
                <w:spacing w:val="-29"/>
                <w:sz w:val="24"/>
                <w:szCs w:val="24"/>
              </w:rPr>
              <w:t xml:space="preserve"> </w:t>
            </w:r>
            <w:r>
              <w:rPr>
                <w:rFonts w:hint="default" w:ascii="Times New Roman" w:hAnsi="Times New Roman" w:eastAsia="Times New Roman" w:cs="Times New Roman"/>
                <w:spacing w:val="-5"/>
                <w:sz w:val="24"/>
                <w:szCs w:val="24"/>
              </w:rPr>
              <w:t>1-</w:t>
            </w:r>
            <w:r>
              <w:rPr>
                <w:rFonts w:hint="default" w:ascii="Times New Roman" w:hAnsi="Times New Roman" w:cs="Times New Roman"/>
                <w:spacing w:val="-5"/>
                <w:sz w:val="24"/>
                <w:szCs w:val="24"/>
                <w:lang w:val="en-US" w:eastAsia="zh-CN"/>
              </w:rPr>
              <w:t>7</w:t>
            </w:r>
            <w:r>
              <w:rPr>
                <w:rFonts w:hint="default" w:ascii="Times New Roman" w:hAnsi="Times New Roman" w:cs="Times New Roman"/>
                <w:spacing w:val="-5"/>
                <w:sz w:val="24"/>
                <w:szCs w:val="24"/>
              </w:rPr>
              <w:t>。</w:t>
            </w:r>
          </w:p>
          <w:p w14:paraId="63D23F49">
            <w:pPr>
              <w:jc w:val="center"/>
              <w:rPr>
                <w:b/>
                <w:bCs/>
                <w:spacing w:val="7"/>
                <w:sz w:val="21"/>
                <w:szCs w:val="21"/>
                <w:vertAlign w:val="baseline"/>
              </w:rPr>
            </w:pPr>
            <w:r>
              <w:rPr>
                <w:b/>
                <w:bCs/>
                <w:spacing w:val="7"/>
              </w:rPr>
              <w:t>表</w:t>
            </w:r>
            <w:r>
              <w:rPr>
                <w:spacing w:val="-29"/>
              </w:rPr>
              <w:t xml:space="preserve"> </w:t>
            </w:r>
            <w:r>
              <w:rPr>
                <w:rFonts w:ascii="Times New Roman" w:hAnsi="Times New Roman" w:eastAsia="Times New Roman" w:cs="Times New Roman"/>
                <w:b/>
                <w:bCs/>
                <w:spacing w:val="7"/>
              </w:rPr>
              <w:t>1-</w:t>
            </w:r>
            <w:r>
              <w:rPr>
                <w:rFonts w:hint="eastAsia" w:ascii="Times New Roman" w:hAnsi="Times New Roman" w:eastAsia="宋体" w:cs="Times New Roman"/>
                <w:b/>
                <w:bCs/>
                <w:spacing w:val="7"/>
                <w:lang w:val="en-US" w:eastAsia="zh-CN"/>
              </w:rPr>
              <w:t>7</w:t>
            </w:r>
            <w:r>
              <w:rPr>
                <w:rFonts w:ascii="Times New Roman" w:hAnsi="Times New Roman" w:eastAsia="Times New Roman" w:cs="Times New Roman"/>
                <w:b/>
                <w:bCs/>
                <w:spacing w:val="7"/>
              </w:rPr>
              <w:t xml:space="preserve">  </w:t>
            </w:r>
            <w:r>
              <w:rPr>
                <w:b/>
                <w:bCs/>
                <w:spacing w:val="7"/>
              </w:rPr>
              <w:t>与《重点行业挥发性有机物综合治理方案》的相符性分析一览表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3"/>
              <w:gridCol w:w="4284"/>
              <w:gridCol w:w="2758"/>
              <w:gridCol w:w="615"/>
            </w:tblGrid>
            <w:tr w14:paraId="5221E2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9" w:type="pct"/>
                  <w:tcBorders>
                    <w:tl2br w:val="nil"/>
                    <w:tr2bl w:val="nil"/>
                  </w:tcBorders>
                  <w:noWrap w:val="0"/>
                  <w:vAlign w:val="center"/>
                </w:tcPr>
                <w:p w14:paraId="2C9A5D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sz w:val="21"/>
                      <w:szCs w:val="21"/>
                      <w:lang w:bidi="ar"/>
                    </w:rPr>
                    <w:t>序号</w:t>
                  </w:r>
                </w:p>
              </w:tc>
              <w:tc>
                <w:tcPr>
                  <w:tcW w:w="2707" w:type="pct"/>
                  <w:tcBorders>
                    <w:tl2br w:val="nil"/>
                    <w:tr2bl w:val="nil"/>
                  </w:tcBorders>
                  <w:noWrap w:val="0"/>
                  <w:vAlign w:val="center"/>
                </w:tcPr>
                <w:p w14:paraId="0DFA77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sz w:val="21"/>
                      <w:szCs w:val="21"/>
                      <w:lang w:eastAsia="zh-CN"/>
                    </w:rPr>
                    <w:t>文件要求</w:t>
                  </w:r>
                  <w:r>
                    <w:rPr>
                      <w:rFonts w:hint="default" w:ascii="Times New Roman" w:hAnsi="Times New Roman" w:eastAsia="宋体" w:cs="Times New Roman"/>
                      <w:color w:val="auto"/>
                      <w:kern w:val="2"/>
                      <w:sz w:val="21"/>
                      <w:szCs w:val="21"/>
                      <w:lang w:val="en-US" w:eastAsia="zh-CN" w:bidi="ar-SA"/>
                    </w:rPr>
                    <w:t>（节选）</w:t>
                  </w:r>
                </w:p>
              </w:tc>
              <w:tc>
                <w:tcPr>
                  <w:tcW w:w="1743" w:type="pct"/>
                  <w:tcBorders>
                    <w:tl2br w:val="nil"/>
                    <w:tr2bl w:val="nil"/>
                  </w:tcBorders>
                  <w:noWrap w:val="0"/>
                  <w:vAlign w:val="center"/>
                </w:tcPr>
                <w:p w14:paraId="166762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sz w:val="21"/>
                      <w:szCs w:val="21"/>
                      <w:lang w:bidi="ar"/>
                    </w:rPr>
                    <w:t>项目情况</w:t>
                  </w:r>
                </w:p>
              </w:tc>
              <w:tc>
                <w:tcPr>
                  <w:tcW w:w="388" w:type="pct"/>
                  <w:tcBorders>
                    <w:tl2br w:val="nil"/>
                    <w:tr2bl w:val="nil"/>
                  </w:tcBorders>
                  <w:noWrap w:val="0"/>
                  <w:vAlign w:val="center"/>
                </w:tcPr>
                <w:p w14:paraId="5BC1DC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sz w:val="21"/>
                      <w:szCs w:val="21"/>
                      <w:lang w:bidi="ar"/>
                    </w:rPr>
                    <w:t>相符性</w:t>
                  </w:r>
                </w:p>
              </w:tc>
            </w:tr>
            <w:tr w14:paraId="4B150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9" w:type="pct"/>
                  <w:tcBorders>
                    <w:tl2br w:val="nil"/>
                    <w:tr2bl w:val="nil"/>
                  </w:tcBorders>
                  <w:noWrap w:val="0"/>
                  <w:vAlign w:val="center"/>
                </w:tcPr>
                <w:p w14:paraId="702F581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1</w:t>
                  </w:r>
                </w:p>
              </w:tc>
              <w:tc>
                <w:tcPr>
                  <w:tcW w:w="2707" w:type="pct"/>
                  <w:tcBorders>
                    <w:tl2br w:val="nil"/>
                    <w:tr2bl w:val="nil"/>
                  </w:tcBorders>
                  <w:noWrap w:val="0"/>
                  <w:vAlign w:val="center"/>
                </w:tcPr>
                <w:p w14:paraId="4449D8F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bidi="ar-SA"/>
                    </w:rPr>
                    <w:t>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r>
                    <w:rPr>
                      <w:rFonts w:hint="default" w:ascii="Times New Roman" w:hAnsi="Times New Roman" w:eastAsia="宋体" w:cs="Times New Roman"/>
                      <w:b w:val="0"/>
                      <w:bCs w:val="0"/>
                      <w:color w:val="auto"/>
                      <w:kern w:val="0"/>
                      <w:sz w:val="21"/>
                      <w:szCs w:val="21"/>
                      <w:vertAlign w:val="baseline"/>
                      <w:lang w:val="en-US" w:eastAsia="zh-CN"/>
                    </w:rPr>
                    <w:t>。</w:t>
                  </w:r>
                </w:p>
              </w:tc>
              <w:tc>
                <w:tcPr>
                  <w:tcW w:w="1743" w:type="pct"/>
                  <w:tcBorders>
                    <w:tl2br w:val="nil"/>
                    <w:tr2bl w:val="nil"/>
                  </w:tcBorders>
                  <w:noWrap w:val="0"/>
                  <w:vAlign w:val="center"/>
                </w:tcPr>
                <w:p w14:paraId="6447A08A">
                  <w:pPr>
                    <w:pStyle w:val="8"/>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color w:val="auto"/>
                      <w:sz w:val="21"/>
                      <w:szCs w:val="21"/>
                      <w:lang w:bidi="ar"/>
                    </w:rPr>
                    <w:t>本</w:t>
                  </w:r>
                  <w:r>
                    <w:rPr>
                      <w:rFonts w:hint="eastAsia" w:ascii="Times New Roman" w:hAnsi="Times New Roman" w:cs="Times New Roman"/>
                      <w:color w:val="auto"/>
                      <w:sz w:val="21"/>
                      <w:szCs w:val="21"/>
                      <w:lang w:val="en-US" w:eastAsia="zh-CN" w:bidi="ar"/>
                    </w:rPr>
                    <w:t>项目在</w:t>
                  </w:r>
                  <w:r>
                    <w:rPr>
                      <w:rFonts w:hint="eastAsia" w:cs="Times New Roman"/>
                      <w:color w:val="000000"/>
                      <w:kern w:val="2"/>
                      <w:sz w:val="21"/>
                      <w:szCs w:val="21"/>
                      <w:lang w:val="en-US" w:eastAsia="zh-CN" w:bidi="ar"/>
                    </w:rPr>
                    <w:t>调胶、涂胶、封胶过程中产生的有机废气，通过集气罩收集，经二级活性炭吸附装置吸附处理后由15m高排气筒排放，</w:t>
                  </w:r>
                  <w:r>
                    <w:rPr>
                      <w:rFonts w:hint="eastAsia"/>
                      <w:lang w:val="en-US" w:eastAsia="zh-CN"/>
                    </w:rPr>
                    <w:t>采取以上措施后，有机</w:t>
                  </w:r>
                  <w:r>
                    <w:rPr>
                      <w:rFonts w:hint="eastAsia" w:ascii="Times New Roman" w:hAnsi="Times New Roman" w:eastAsia="宋体" w:cs="Times New Roman"/>
                      <w:color w:val="auto"/>
                      <w:sz w:val="21"/>
                      <w:szCs w:val="21"/>
                      <w:lang w:val="en-US" w:eastAsia="zh-CN"/>
                    </w:rPr>
                    <w:t>废气</w:t>
                  </w:r>
                  <w:r>
                    <w:rPr>
                      <w:rFonts w:hint="eastAsia" w:ascii="Times New Roman" w:hAnsi="Times New Roman" w:cs="Times New Roman"/>
                      <w:color w:val="auto"/>
                      <w:sz w:val="21"/>
                      <w:szCs w:val="21"/>
                      <w:lang w:val="en-US" w:eastAsia="zh-CN" w:bidi="ar"/>
                    </w:rPr>
                    <w:t>可实现达标排放</w:t>
                  </w:r>
                  <w:r>
                    <w:rPr>
                      <w:rFonts w:hint="eastAsia" w:cs="Times New Roman"/>
                      <w:color w:val="auto"/>
                      <w:sz w:val="21"/>
                      <w:szCs w:val="21"/>
                      <w:lang w:val="en-US" w:eastAsia="zh-CN" w:bidi="ar"/>
                    </w:rPr>
                    <w:t>。</w:t>
                  </w:r>
                </w:p>
              </w:tc>
              <w:tc>
                <w:tcPr>
                  <w:tcW w:w="388" w:type="pct"/>
                  <w:tcBorders>
                    <w:tl2br w:val="nil"/>
                    <w:tr2bl w:val="nil"/>
                  </w:tcBorders>
                  <w:noWrap w:val="0"/>
                  <w:vAlign w:val="center"/>
                </w:tcPr>
                <w:p w14:paraId="76B9878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相符</w:t>
                  </w:r>
                </w:p>
              </w:tc>
            </w:tr>
            <w:tr w14:paraId="69E963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9" w:type="pct"/>
                  <w:tcBorders>
                    <w:tl2br w:val="nil"/>
                    <w:tr2bl w:val="nil"/>
                  </w:tcBorders>
                  <w:noWrap w:val="0"/>
                  <w:vAlign w:val="center"/>
                </w:tcPr>
                <w:p w14:paraId="3933076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3</w:t>
                  </w:r>
                </w:p>
              </w:tc>
              <w:tc>
                <w:tcPr>
                  <w:tcW w:w="2707" w:type="pct"/>
                  <w:tcBorders>
                    <w:tl2br w:val="nil"/>
                    <w:tr2bl w:val="nil"/>
                  </w:tcBorders>
                  <w:noWrap w:val="0"/>
                  <w:vAlign w:val="center"/>
                </w:tcPr>
                <w:p w14:paraId="38F6708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420" w:firstLineChars="20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eastAsia="宋体" w:cs="Times New Roman"/>
                      <w:b w:val="0"/>
                      <w:bCs w:val="0"/>
                      <w:color w:val="auto"/>
                      <w:kern w:val="0"/>
                      <w:sz w:val="21"/>
                      <w:szCs w:val="21"/>
                      <w:vertAlign w:val="baseline"/>
                      <w:lang w:val="en-US" w:eastAsia="zh-CN"/>
                    </w:rPr>
                    <w:t>加快生产设备密闭化改造。对进出料、物料输送、搅拌、固液分离、干燥、灌装等过程，采取密闭化措施，提升工艺装备水平。加快淘汰敞口式、明流式设施。重点区域含VOCs物料输送原则上采用重力流或泵送方式，逐步淘汰真空方式；有机液体进料鼓励采用底部、浸入管给料方式，淘汰喷溅式给料；固体物料投加逐步推进采用密闭式投料装置。</w:t>
                  </w:r>
                </w:p>
              </w:tc>
              <w:tc>
                <w:tcPr>
                  <w:tcW w:w="1743" w:type="pct"/>
                  <w:tcBorders>
                    <w:tl2br w:val="nil"/>
                    <w:tr2bl w:val="nil"/>
                  </w:tcBorders>
                  <w:noWrap w:val="0"/>
                  <w:vAlign w:val="center"/>
                </w:tcPr>
                <w:p w14:paraId="150E0E5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项目为特种玻璃</w:t>
                  </w:r>
                  <w:r>
                    <w:rPr>
                      <w:rFonts w:hint="eastAsia" w:ascii="Times New Roman" w:hAnsi="Times New Roman" w:cs="Times New Roman"/>
                      <w:color w:val="auto"/>
                      <w:sz w:val="21"/>
                      <w:szCs w:val="21"/>
                      <w:lang w:val="en-US" w:eastAsia="zh-CN"/>
                    </w:rPr>
                    <w:t>生产加工</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属于</w:t>
                  </w:r>
                  <w:r>
                    <w:rPr>
                      <w:rFonts w:hint="default" w:ascii="Times New Roman" w:hAnsi="Times New Roman" w:cs="Times New Roman"/>
                      <w:color w:val="auto"/>
                      <w:sz w:val="21"/>
                      <w:szCs w:val="21"/>
                      <w:lang w:val="en-US" w:eastAsia="zh-CN"/>
                    </w:rPr>
                    <w:t>C3042特种玻璃制造制造</w:t>
                  </w:r>
                  <w:r>
                    <w:rPr>
                      <w:rFonts w:hint="eastAsia" w:ascii="Times New Roman" w:hAnsi="Times New Roman" w:eastAsia="宋体" w:cs="Times New Roman"/>
                      <w:b w:val="0"/>
                      <w:bCs w:val="0"/>
                      <w:color w:val="auto"/>
                      <w:kern w:val="0"/>
                      <w:sz w:val="21"/>
                      <w:szCs w:val="21"/>
                      <w:vertAlign w:val="baseline"/>
                      <w:lang w:val="en-US" w:eastAsia="zh-CN"/>
                    </w:rPr>
                    <w:t>，</w:t>
                  </w:r>
                  <w:r>
                    <w:rPr>
                      <w:rFonts w:hint="eastAsia" w:cs="Times New Roman"/>
                      <w:b w:val="0"/>
                      <w:bCs w:val="0"/>
                      <w:color w:val="auto"/>
                      <w:kern w:val="0"/>
                      <w:sz w:val="21"/>
                      <w:szCs w:val="21"/>
                      <w:vertAlign w:val="baseline"/>
                      <w:lang w:val="en-US" w:eastAsia="zh-CN"/>
                    </w:rPr>
                    <w:t>加强车间密闭，减少无组织排放。</w:t>
                  </w:r>
                </w:p>
              </w:tc>
              <w:tc>
                <w:tcPr>
                  <w:tcW w:w="388" w:type="pct"/>
                  <w:tcBorders>
                    <w:tl2br w:val="nil"/>
                    <w:tr2bl w:val="nil"/>
                  </w:tcBorders>
                  <w:noWrap w:val="0"/>
                  <w:vAlign w:val="center"/>
                </w:tcPr>
                <w:p w14:paraId="5D3B7F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相符</w:t>
                  </w:r>
                </w:p>
              </w:tc>
            </w:tr>
            <w:tr w14:paraId="6780B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9" w:type="pct"/>
                  <w:tcBorders>
                    <w:tl2br w:val="nil"/>
                    <w:tr2bl w:val="nil"/>
                  </w:tcBorders>
                  <w:noWrap w:val="0"/>
                  <w:vAlign w:val="center"/>
                </w:tcPr>
                <w:p w14:paraId="2BC08C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4</w:t>
                  </w:r>
                </w:p>
              </w:tc>
              <w:tc>
                <w:tcPr>
                  <w:tcW w:w="2707" w:type="pct"/>
                  <w:tcBorders>
                    <w:tl2br w:val="nil"/>
                    <w:tr2bl w:val="nil"/>
                  </w:tcBorders>
                  <w:noWrap w:val="0"/>
                  <w:vAlign w:val="center"/>
                </w:tcPr>
                <w:p w14:paraId="59B548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rightChars="0"/>
                    <w:jc w:val="center"/>
                    <w:textAlignment w:val="auto"/>
                    <w:rPr>
                      <w:rFonts w:hint="default" w:ascii="Times New Roman" w:hAnsi="Times New Roman" w:eastAsia="宋体" w:cs="Times New Roman"/>
                      <w:b w:val="0"/>
                      <w:bCs w:val="0"/>
                      <w:color w:val="auto"/>
                      <w:kern w:val="0"/>
                      <w:sz w:val="21"/>
                      <w:szCs w:val="21"/>
                      <w:vertAlign w:val="baseline"/>
                      <w:lang w:val="en-US" w:eastAsia="zh-CN" w:bidi="ar-SA"/>
                    </w:rPr>
                  </w:pPr>
                  <w:r>
                    <w:rPr>
                      <w:rFonts w:hint="default" w:ascii="Times New Roman" w:hAnsi="Times New Roman" w:eastAsia="宋体" w:cs="Times New Roman"/>
                      <w:b w:val="0"/>
                      <w:bCs w:val="0"/>
                      <w:color w:val="auto"/>
                      <w:kern w:val="0"/>
                      <w:sz w:val="21"/>
                      <w:szCs w:val="21"/>
                      <w:vertAlign w:val="baseline"/>
                      <w:lang w:val="en-US" w:eastAsia="zh-CN"/>
                    </w:rPr>
                    <w:t>加强监测监控。加快制定家具、人造板、电子工业、包装印刷、涂料油墨颜料及类似产品、橡胶制品、塑料制品等行业自行监测指南和工业园区监测指南。排污许可管理已有规定的石化、炼焦、原料药、农药、汽车制造、制革、纺织印染等行业，要严格按照相关规定开展自行监测工作。</w:t>
                  </w:r>
                </w:p>
              </w:tc>
              <w:tc>
                <w:tcPr>
                  <w:tcW w:w="1743" w:type="pct"/>
                  <w:tcBorders>
                    <w:tl2br w:val="nil"/>
                    <w:tr2bl w:val="nil"/>
                  </w:tcBorders>
                  <w:noWrap w:val="0"/>
                  <w:vAlign w:val="center"/>
                </w:tcPr>
                <w:p w14:paraId="0E16760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项目为特种玻璃</w:t>
                  </w:r>
                  <w:r>
                    <w:rPr>
                      <w:rFonts w:hint="eastAsia" w:ascii="Times New Roman" w:hAnsi="Times New Roman" w:cs="Times New Roman"/>
                      <w:color w:val="auto"/>
                      <w:sz w:val="21"/>
                      <w:szCs w:val="21"/>
                      <w:lang w:val="en-US" w:eastAsia="zh-CN"/>
                    </w:rPr>
                    <w:t>生产加工</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属于</w:t>
                  </w:r>
                  <w:r>
                    <w:rPr>
                      <w:rFonts w:hint="default" w:ascii="Times New Roman" w:hAnsi="Times New Roman" w:cs="Times New Roman"/>
                      <w:color w:val="auto"/>
                      <w:sz w:val="21"/>
                      <w:szCs w:val="21"/>
                      <w:lang w:val="en-US" w:eastAsia="zh-CN"/>
                    </w:rPr>
                    <w:t>C3042特种玻璃制造制造</w:t>
                  </w:r>
                  <w:r>
                    <w:rPr>
                      <w:rFonts w:hint="eastAsia" w:ascii="Times New Roman" w:hAnsi="Times New Roman" w:eastAsia="宋体" w:cs="Times New Roman"/>
                      <w:b w:val="0"/>
                      <w:bCs w:val="0"/>
                      <w:color w:val="auto"/>
                      <w:kern w:val="0"/>
                      <w:sz w:val="21"/>
                      <w:szCs w:val="21"/>
                      <w:vertAlign w:val="baseline"/>
                      <w:lang w:val="en-US" w:eastAsia="zh-CN"/>
                    </w:rPr>
                    <w:t>，</w:t>
                  </w:r>
                  <w:r>
                    <w:rPr>
                      <w:rFonts w:hint="eastAsia" w:cs="Times New Roman"/>
                      <w:b w:val="0"/>
                      <w:bCs w:val="0"/>
                      <w:color w:val="auto"/>
                      <w:kern w:val="0"/>
                      <w:sz w:val="21"/>
                      <w:szCs w:val="21"/>
                      <w:vertAlign w:val="baseline"/>
                      <w:lang w:val="en-US" w:eastAsia="zh-CN"/>
                    </w:rPr>
                    <w:t>项目建成后，严格执行</w:t>
                  </w:r>
                  <w:r>
                    <w:rPr>
                      <w:rFonts w:hint="default" w:ascii="Times New Roman" w:hAnsi="Times New Roman" w:eastAsia="宋体" w:cs="Times New Roman"/>
                      <w:b w:val="0"/>
                      <w:bCs w:val="0"/>
                      <w:color w:val="auto"/>
                      <w:kern w:val="0"/>
                      <w:sz w:val="21"/>
                      <w:szCs w:val="21"/>
                      <w:vertAlign w:val="baseline"/>
                      <w:lang w:val="en-US" w:eastAsia="zh-CN"/>
                    </w:rPr>
                    <w:t>自行监测工作</w:t>
                  </w:r>
                  <w:r>
                    <w:rPr>
                      <w:rFonts w:hint="eastAsia" w:cs="Times New Roman"/>
                      <w:b w:val="0"/>
                      <w:bCs w:val="0"/>
                      <w:color w:val="auto"/>
                      <w:kern w:val="0"/>
                      <w:sz w:val="21"/>
                      <w:szCs w:val="21"/>
                      <w:vertAlign w:val="baseline"/>
                      <w:lang w:val="en-US" w:eastAsia="zh-CN"/>
                    </w:rPr>
                    <w:t>。</w:t>
                  </w:r>
                </w:p>
              </w:tc>
              <w:tc>
                <w:tcPr>
                  <w:tcW w:w="388" w:type="pct"/>
                  <w:tcBorders>
                    <w:tl2br w:val="nil"/>
                    <w:tr2bl w:val="nil"/>
                  </w:tcBorders>
                  <w:noWrap w:val="0"/>
                  <w:vAlign w:val="center"/>
                </w:tcPr>
                <w:p w14:paraId="4EEF21E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相符</w:t>
                  </w:r>
                </w:p>
              </w:tc>
            </w:tr>
            <w:tr w14:paraId="53AFB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159" w:type="pct"/>
                  <w:tcBorders>
                    <w:tl2br w:val="nil"/>
                    <w:tr2bl w:val="nil"/>
                  </w:tcBorders>
                  <w:noWrap w:val="0"/>
                  <w:vAlign w:val="center"/>
                </w:tcPr>
                <w:p w14:paraId="0935796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5</w:t>
                  </w:r>
                </w:p>
              </w:tc>
              <w:tc>
                <w:tcPr>
                  <w:tcW w:w="2707" w:type="pct"/>
                  <w:tcBorders>
                    <w:tl2br w:val="nil"/>
                    <w:tr2bl w:val="nil"/>
                  </w:tcBorders>
                  <w:noWrap w:val="0"/>
                  <w:vAlign w:val="center"/>
                </w:tcPr>
                <w:p w14:paraId="29798D6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全面实施排污许可。按照固定污染源排污许可分类管理名录要求，加快家具等行业排污许可证核发工作。对已核发的涉VOCs行业，强化排污许可执法监管，确保排污单位落实持证排污、按证排污的环境管理主体责任。定期公布未按证排污单位名单。</w:t>
                  </w:r>
                </w:p>
              </w:tc>
              <w:tc>
                <w:tcPr>
                  <w:tcW w:w="1743" w:type="pct"/>
                  <w:tcBorders>
                    <w:tl2br w:val="nil"/>
                    <w:tr2bl w:val="nil"/>
                  </w:tcBorders>
                  <w:noWrap w:val="0"/>
                  <w:vAlign w:val="center"/>
                </w:tcPr>
                <w:p w14:paraId="43A36F5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项目为特种玻璃</w:t>
                  </w:r>
                  <w:r>
                    <w:rPr>
                      <w:rFonts w:hint="eastAsia" w:ascii="Times New Roman" w:hAnsi="Times New Roman" w:cs="Times New Roman"/>
                      <w:color w:val="auto"/>
                      <w:sz w:val="21"/>
                      <w:szCs w:val="21"/>
                      <w:lang w:val="en-US" w:eastAsia="zh-CN"/>
                    </w:rPr>
                    <w:t>生产加工</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属于</w:t>
                  </w:r>
                  <w:r>
                    <w:rPr>
                      <w:rFonts w:hint="default" w:ascii="Times New Roman" w:hAnsi="Times New Roman" w:cs="Times New Roman"/>
                      <w:color w:val="auto"/>
                      <w:sz w:val="21"/>
                      <w:szCs w:val="21"/>
                      <w:lang w:val="en-US" w:eastAsia="zh-CN"/>
                    </w:rPr>
                    <w:t>C3042特种玻璃制造</w:t>
                  </w:r>
                  <w:r>
                    <w:rPr>
                      <w:rFonts w:hint="eastAsia" w:ascii="Times New Roman" w:hAnsi="Times New Roman" w:eastAsia="宋体" w:cs="Times New Roman"/>
                      <w:b w:val="0"/>
                      <w:bCs w:val="0"/>
                      <w:color w:val="auto"/>
                      <w:kern w:val="0"/>
                      <w:sz w:val="21"/>
                      <w:szCs w:val="21"/>
                      <w:vertAlign w:val="baseline"/>
                      <w:lang w:val="en-US" w:eastAsia="zh-CN"/>
                    </w:rPr>
                    <w:t>，</w:t>
                  </w:r>
                  <w:r>
                    <w:rPr>
                      <w:rFonts w:hint="eastAsia" w:cs="Times New Roman"/>
                      <w:b w:val="0"/>
                      <w:bCs w:val="0"/>
                      <w:color w:val="auto"/>
                      <w:kern w:val="0"/>
                      <w:sz w:val="21"/>
                      <w:szCs w:val="21"/>
                      <w:vertAlign w:val="baseline"/>
                      <w:lang w:val="en-US" w:eastAsia="zh-CN"/>
                    </w:rPr>
                    <w:t>项目建成后，严格执行</w:t>
                  </w:r>
                  <w:r>
                    <w:rPr>
                      <w:rFonts w:hint="default" w:ascii="Times New Roman" w:hAnsi="Times New Roman" w:eastAsia="宋体" w:cs="Times New Roman"/>
                      <w:b w:val="0"/>
                      <w:bCs w:val="0"/>
                      <w:color w:val="auto"/>
                      <w:kern w:val="0"/>
                      <w:sz w:val="21"/>
                      <w:szCs w:val="21"/>
                      <w:vertAlign w:val="baseline"/>
                      <w:lang w:val="en-US" w:eastAsia="zh-CN"/>
                    </w:rPr>
                    <w:t>排污许可</w:t>
                  </w:r>
                  <w:r>
                    <w:rPr>
                      <w:rFonts w:hint="eastAsia" w:ascii="Times New Roman" w:hAnsi="Times New Roman" w:eastAsia="宋体" w:cs="Times New Roman"/>
                      <w:b w:val="0"/>
                      <w:bCs w:val="0"/>
                      <w:color w:val="auto"/>
                      <w:kern w:val="0"/>
                      <w:sz w:val="21"/>
                      <w:szCs w:val="21"/>
                      <w:vertAlign w:val="baseline"/>
                      <w:lang w:val="en-US" w:eastAsia="zh-CN"/>
                    </w:rPr>
                    <w:t>制度</w:t>
                  </w:r>
                  <w:r>
                    <w:rPr>
                      <w:rFonts w:hint="eastAsia" w:cs="Times New Roman"/>
                      <w:b w:val="0"/>
                      <w:bCs w:val="0"/>
                      <w:color w:val="auto"/>
                      <w:kern w:val="0"/>
                      <w:sz w:val="21"/>
                      <w:szCs w:val="21"/>
                      <w:vertAlign w:val="baseline"/>
                      <w:lang w:val="en-US" w:eastAsia="zh-CN"/>
                    </w:rPr>
                    <w:t>。</w:t>
                  </w:r>
                </w:p>
              </w:tc>
              <w:tc>
                <w:tcPr>
                  <w:tcW w:w="388" w:type="pct"/>
                  <w:tcBorders>
                    <w:tl2br w:val="nil"/>
                    <w:tr2bl w:val="nil"/>
                  </w:tcBorders>
                  <w:noWrap w:val="0"/>
                  <w:vAlign w:val="center"/>
                </w:tcPr>
                <w:p w14:paraId="4D5A7D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vertAlign w:val="baseline"/>
                      <w:lang w:val="en-US" w:eastAsia="zh-CN"/>
                    </w:rPr>
                  </w:pPr>
                  <w:r>
                    <w:rPr>
                      <w:rFonts w:hint="eastAsia" w:ascii="Times New Roman" w:hAnsi="Times New Roman" w:eastAsia="宋体" w:cs="Times New Roman"/>
                      <w:b w:val="0"/>
                      <w:bCs w:val="0"/>
                      <w:color w:val="auto"/>
                      <w:kern w:val="0"/>
                      <w:sz w:val="21"/>
                      <w:szCs w:val="21"/>
                      <w:vertAlign w:val="baseline"/>
                      <w:lang w:val="en-US" w:eastAsia="zh-CN"/>
                    </w:rPr>
                    <w:t>相符</w:t>
                  </w:r>
                </w:p>
              </w:tc>
            </w:tr>
          </w:tbl>
          <w:p w14:paraId="36BE0C43">
            <w:pPr>
              <w:pStyle w:val="81"/>
              <w:keepNext w:val="0"/>
              <w:keepLines w:val="0"/>
              <w:pageBreakBefore w:val="0"/>
              <w:widowControl w:val="0"/>
              <w:kinsoku/>
              <w:wordWrap/>
              <w:overflowPunct/>
              <w:topLinePunct w:val="0"/>
              <w:autoSpaceDE/>
              <w:autoSpaceDN/>
              <w:bidi w:val="0"/>
              <w:adjustRightInd w:val="0"/>
              <w:snapToGrid w:val="0"/>
              <w:spacing w:line="360" w:lineRule="auto"/>
              <w:ind w:left="112" w:firstLine="472"/>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综上所述，本项目符合《重点行业挥发性有机物综合治理方案》环大气</w:t>
            </w:r>
            <w:r>
              <w:rPr>
                <w:rFonts w:hint="default" w:ascii="Times New Roman" w:hAnsi="Times New Roman" w:cs="Times New Roman"/>
                <w:spacing w:val="-2"/>
                <w:sz w:val="24"/>
                <w:szCs w:val="24"/>
                <w:lang w:val="en-US" w:eastAsia="zh-CN"/>
              </w:rPr>
              <w:t>[</w:t>
            </w:r>
            <w:r>
              <w:rPr>
                <w:rFonts w:hint="default" w:ascii="Times New Roman" w:hAnsi="Times New Roman" w:cs="Times New Roman"/>
                <w:spacing w:val="-2"/>
                <w:sz w:val="24"/>
                <w:szCs w:val="24"/>
              </w:rPr>
              <w:t>2019</w:t>
            </w:r>
            <w:r>
              <w:rPr>
                <w:rFonts w:hint="default" w:ascii="Times New Roman" w:hAnsi="Times New Roman" w:cs="Times New Roman"/>
                <w:spacing w:val="-2"/>
                <w:sz w:val="24"/>
                <w:szCs w:val="24"/>
                <w:lang w:val="en-US" w:eastAsia="zh-CN"/>
              </w:rPr>
              <w:t>]</w:t>
            </w:r>
            <w:r>
              <w:rPr>
                <w:rFonts w:hint="default" w:ascii="Times New Roman" w:hAnsi="Times New Roman" w:cs="Times New Roman"/>
                <w:spacing w:val="-2"/>
                <w:sz w:val="24"/>
                <w:szCs w:val="24"/>
              </w:rPr>
              <w:t>53号</w:t>
            </w:r>
            <w:r>
              <w:rPr>
                <w:rFonts w:hint="default" w:ascii="Times New Roman" w:hAnsi="Times New Roman" w:cs="Times New Roman"/>
                <w:spacing w:val="-5"/>
                <w:sz w:val="24"/>
                <w:szCs w:val="24"/>
              </w:rPr>
              <w:t>的相关要求。</w:t>
            </w:r>
          </w:p>
          <w:p w14:paraId="3197FFA7">
            <w:pPr>
              <w:pStyle w:val="81"/>
              <w:numPr>
                <w:ilvl w:val="0"/>
                <w:numId w:val="0"/>
              </w:numPr>
              <w:spacing w:before="41" w:line="347" w:lineRule="auto"/>
              <w:ind w:right="153" w:rightChars="0"/>
              <w:rPr>
                <w:rFonts w:hint="default" w:ascii="Times New Roman" w:hAnsi="Times New Roman" w:eastAsia="宋体" w:cs="Times New Roman"/>
                <w:b/>
                <w:bCs/>
                <w:color w:val="auto"/>
                <w:sz w:val="24"/>
                <w:szCs w:val="24"/>
                <w:lang w:val="zh-CN" w:eastAsia="zh-CN"/>
              </w:rPr>
            </w:pPr>
            <w:r>
              <w:rPr>
                <w:rFonts w:hint="default" w:ascii="Times New Roman" w:hAnsi="Times New Roman" w:eastAsia="宋体" w:cs="Times New Roman"/>
                <w:b/>
                <w:bCs/>
                <w:color w:val="auto"/>
                <w:kern w:val="2"/>
                <w:sz w:val="24"/>
                <w:szCs w:val="24"/>
                <w:lang w:val="zh-CN" w:eastAsia="zh-CN" w:bidi="ar-SA"/>
              </w:rPr>
              <w:t>6、</w:t>
            </w:r>
            <w:r>
              <w:rPr>
                <w:rFonts w:hint="eastAsia" w:ascii="Times New Roman" w:hAnsi="Times New Roman" w:eastAsia="宋体" w:cs="Times New Roman"/>
                <w:b/>
                <w:bCs/>
                <w:color w:val="auto"/>
                <w:sz w:val="24"/>
                <w:szCs w:val="24"/>
                <w:lang w:val="en-US" w:eastAsia="zh-CN"/>
              </w:rPr>
              <w:t>与《2020年挥发性有机物治理攻坚方案》的</w:t>
            </w:r>
            <w:r>
              <w:rPr>
                <w:rFonts w:hint="default" w:ascii="Times New Roman" w:hAnsi="Times New Roman" w:eastAsia="宋体" w:cs="Times New Roman"/>
                <w:b/>
                <w:bCs/>
                <w:color w:val="auto"/>
                <w:sz w:val="24"/>
                <w:szCs w:val="24"/>
                <w:lang w:val="zh-CN" w:eastAsia="zh-CN"/>
              </w:rPr>
              <w:t>相符性分析</w:t>
            </w:r>
          </w:p>
          <w:p w14:paraId="52B67036">
            <w:pPr>
              <w:pStyle w:val="81"/>
              <w:numPr>
                <w:ilvl w:val="0"/>
                <w:numId w:val="0"/>
              </w:numPr>
              <w:spacing w:before="41" w:line="347" w:lineRule="auto"/>
              <w:ind w:right="153" w:rightChars="0" w:firstLine="476" w:firstLineChars="200"/>
              <w:rPr>
                <w:rFonts w:hint="default" w:ascii="Times New Roman" w:hAnsi="Times New Roman" w:eastAsia="宋体" w:cs="Times New Roman"/>
                <w:b/>
                <w:bCs/>
                <w:color w:val="auto"/>
                <w:sz w:val="24"/>
                <w:szCs w:val="24"/>
                <w:lang w:val="zh-CN" w:eastAsia="zh-CN"/>
              </w:rPr>
            </w:pPr>
            <w:r>
              <w:rPr>
                <w:rFonts w:hint="default" w:ascii="Times New Roman" w:hAnsi="Times New Roman" w:cs="Times New Roman"/>
                <w:spacing w:val="-1"/>
                <w:sz w:val="24"/>
                <w:szCs w:val="24"/>
              </w:rPr>
              <w:t>本项目与</w:t>
            </w:r>
            <w:r>
              <w:rPr>
                <w:rFonts w:hint="eastAsia" w:ascii="Times New Roman" w:hAnsi="Times New Roman" w:eastAsia="宋体" w:cs="Times New Roman"/>
                <w:b/>
                <w:bCs/>
                <w:color w:val="auto"/>
                <w:sz w:val="24"/>
                <w:szCs w:val="24"/>
                <w:lang w:val="en-US" w:eastAsia="zh-CN"/>
              </w:rPr>
              <w:t>《2020年挥发性有机物治理攻坚方案》</w:t>
            </w:r>
            <w:r>
              <w:rPr>
                <w:rFonts w:hint="default" w:ascii="Times New Roman" w:hAnsi="Times New Roman" w:cs="Times New Roman"/>
                <w:spacing w:val="-1"/>
                <w:sz w:val="24"/>
                <w:szCs w:val="24"/>
              </w:rPr>
              <w:t>的相符性分</w:t>
            </w:r>
            <w:r>
              <w:rPr>
                <w:rFonts w:hint="default" w:ascii="Times New Roman" w:hAnsi="Times New Roman" w:cs="Times New Roman"/>
                <w:spacing w:val="-5"/>
                <w:sz w:val="24"/>
                <w:szCs w:val="24"/>
              </w:rPr>
              <w:t>析见下表。</w:t>
            </w:r>
          </w:p>
          <w:p w14:paraId="0E1CA169">
            <w:pPr>
              <w:pStyle w:val="81"/>
              <w:numPr>
                <w:ilvl w:val="0"/>
                <w:numId w:val="0"/>
              </w:numPr>
              <w:spacing w:before="41" w:line="347" w:lineRule="auto"/>
              <w:ind w:left="112" w:leftChars="0" w:right="153" w:rightChars="0" w:firstLine="480" w:firstLineChars="0"/>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表1-8 与2020年挥发性有机物治理攻坚方案相符性分析一览表</w:t>
            </w:r>
          </w:p>
          <w:tbl>
            <w:tblPr>
              <w:tblStyle w:val="19"/>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529"/>
              <w:gridCol w:w="1973"/>
              <w:gridCol w:w="659"/>
            </w:tblGrid>
            <w:tr w14:paraId="777501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1" w:type="pct"/>
                  <w:tcBorders>
                    <w:tl2br w:val="nil"/>
                    <w:tr2bl w:val="nil"/>
                  </w:tcBorders>
                  <w:noWrap w:val="0"/>
                  <w:vAlign w:val="center"/>
                </w:tcPr>
                <w:p w14:paraId="7CA90CC1">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序号</w:t>
                  </w:r>
                </w:p>
              </w:tc>
              <w:tc>
                <w:tcPr>
                  <w:tcW w:w="2863" w:type="pct"/>
                  <w:tcBorders>
                    <w:tl2br w:val="nil"/>
                    <w:tr2bl w:val="nil"/>
                  </w:tcBorders>
                  <w:noWrap w:val="0"/>
                  <w:vAlign w:val="center"/>
                </w:tcPr>
                <w:p w14:paraId="2B9E1FEC">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val="en-US" w:eastAsia="zh-CN" w:bidi="ar"/>
                    </w:rPr>
                    <w:t>2020年挥发性有机物治理攻坚方案</w:t>
                  </w:r>
                  <w:r>
                    <w:rPr>
                      <w:rFonts w:hint="default" w:ascii="Times New Roman" w:hAnsi="Times New Roman" w:eastAsia="宋体" w:cs="Times New Roman"/>
                      <w:color w:val="auto"/>
                      <w:kern w:val="2"/>
                      <w:sz w:val="21"/>
                      <w:szCs w:val="21"/>
                      <w:lang w:val="en-US" w:eastAsia="zh-CN" w:bidi="ar-SA"/>
                    </w:rPr>
                    <w:t>（节选）</w:t>
                  </w:r>
                </w:p>
              </w:tc>
              <w:tc>
                <w:tcPr>
                  <w:tcW w:w="1247" w:type="pct"/>
                  <w:tcBorders>
                    <w:tl2br w:val="nil"/>
                    <w:tr2bl w:val="nil"/>
                  </w:tcBorders>
                  <w:noWrap w:val="0"/>
                  <w:vAlign w:val="center"/>
                </w:tcPr>
                <w:p w14:paraId="5E6E8F23">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项目情况</w:t>
                  </w:r>
                </w:p>
              </w:tc>
              <w:tc>
                <w:tcPr>
                  <w:tcW w:w="416" w:type="pct"/>
                  <w:tcBorders>
                    <w:tl2br w:val="nil"/>
                    <w:tr2bl w:val="nil"/>
                  </w:tcBorders>
                  <w:noWrap w:val="0"/>
                  <w:vAlign w:val="center"/>
                </w:tcPr>
                <w:p w14:paraId="4381BEDE">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相符性</w:t>
                  </w:r>
                </w:p>
              </w:tc>
            </w:tr>
            <w:tr w14:paraId="3786BC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1" w:type="pct"/>
                  <w:tcBorders>
                    <w:tl2br w:val="nil"/>
                    <w:tr2bl w:val="nil"/>
                  </w:tcBorders>
                  <w:noWrap w:val="0"/>
                  <w:vAlign w:val="center"/>
                </w:tcPr>
                <w:p w14:paraId="49CB008B">
                  <w:pPr>
                    <w:jc w:val="center"/>
                    <w:rPr>
                      <w:rFonts w:hint="eastAsia"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1</w:t>
                  </w:r>
                </w:p>
              </w:tc>
              <w:tc>
                <w:tcPr>
                  <w:tcW w:w="2863" w:type="pct"/>
                  <w:tcBorders>
                    <w:tl2br w:val="nil"/>
                    <w:tr2bl w:val="nil"/>
                  </w:tcBorders>
                  <w:noWrap w:val="0"/>
                  <w:vAlign w:val="center"/>
                </w:tcPr>
                <w:p w14:paraId="5D8FCFB5">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w:t>
                  </w:r>
                </w:p>
              </w:tc>
              <w:tc>
                <w:tcPr>
                  <w:tcW w:w="1247" w:type="pct"/>
                  <w:tcBorders>
                    <w:tl2br w:val="nil"/>
                    <w:tr2bl w:val="nil"/>
                  </w:tcBorders>
                  <w:noWrap w:val="0"/>
                  <w:vAlign w:val="center"/>
                </w:tcPr>
                <w:p w14:paraId="4A3A36D3">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w:t>
                  </w:r>
                  <w:r>
                    <w:rPr>
                      <w:rFonts w:hint="eastAsia" w:cs="Times New Roman"/>
                      <w:b w:val="0"/>
                      <w:bCs w:val="0"/>
                      <w:color w:val="auto"/>
                      <w:sz w:val="21"/>
                      <w:szCs w:val="21"/>
                      <w:lang w:val="en-US" w:eastAsia="zh-CN" w:bidi="ar"/>
                    </w:rPr>
                    <w:t>所用胶粘剂均为桶装密封，</w:t>
                  </w:r>
                  <w:r>
                    <w:rPr>
                      <w:rFonts w:hint="eastAsia" w:ascii="Times New Roman" w:hAnsi="Times New Roman" w:cs="Times New Roman"/>
                      <w:b w:val="0"/>
                      <w:bCs w:val="0"/>
                      <w:color w:val="auto"/>
                      <w:sz w:val="21"/>
                      <w:szCs w:val="21"/>
                      <w:lang w:val="en-US" w:eastAsia="zh-CN" w:bidi="ar"/>
                    </w:rPr>
                    <w:t>在</w:t>
                  </w:r>
                  <w:r>
                    <w:rPr>
                      <w:rFonts w:hint="eastAsia" w:cs="Times New Roman"/>
                      <w:b w:val="0"/>
                      <w:bCs w:val="0"/>
                      <w:color w:val="000000"/>
                      <w:kern w:val="2"/>
                      <w:sz w:val="21"/>
                      <w:szCs w:val="21"/>
                      <w:lang w:val="en-US" w:eastAsia="zh-CN" w:bidi="ar"/>
                    </w:rPr>
                    <w:t>调胶、涂胶、封胶过程中产生的有机废气，通过设置集气罩收集，经二级活性炭吸附装置吸附处理后由15m高排气筒排放，</w:t>
                  </w:r>
                  <w:r>
                    <w:rPr>
                      <w:rFonts w:hint="eastAsia" w:ascii="Times New Roman" w:hAnsi="Times New Roman" w:eastAsia="宋体" w:cs="Times New Roman"/>
                      <w:b w:val="0"/>
                      <w:bCs w:val="0"/>
                      <w:color w:val="auto"/>
                      <w:sz w:val="21"/>
                      <w:szCs w:val="21"/>
                      <w:lang w:val="en-US" w:eastAsia="zh-CN"/>
                    </w:rPr>
                    <w:t>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416" w:type="pct"/>
                  <w:tcBorders>
                    <w:tl2br w:val="nil"/>
                    <w:tr2bl w:val="nil"/>
                  </w:tcBorders>
                  <w:noWrap w:val="0"/>
                  <w:vAlign w:val="center"/>
                </w:tcPr>
                <w:p w14:paraId="1C2D7F07">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0AD2F9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1" w:type="pct"/>
                  <w:tcBorders>
                    <w:tl2br w:val="nil"/>
                    <w:tr2bl w:val="nil"/>
                  </w:tcBorders>
                  <w:noWrap w:val="0"/>
                  <w:vAlign w:val="center"/>
                </w:tcPr>
                <w:p w14:paraId="6E2681A0">
                  <w:pPr>
                    <w:jc w:val="center"/>
                    <w:rPr>
                      <w:rFonts w:hint="eastAsia"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2</w:t>
                  </w:r>
                </w:p>
              </w:tc>
              <w:tc>
                <w:tcPr>
                  <w:tcW w:w="2863" w:type="pct"/>
                  <w:tcBorders>
                    <w:tl2br w:val="nil"/>
                    <w:tr2bl w:val="nil"/>
                  </w:tcBorders>
                  <w:noWrap w:val="0"/>
                  <w:vAlign w:val="center"/>
                </w:tcPr>
                <w:p w14:paraId="4822CF53">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企业在无组织排放排查整治过程中，在保证安全的前提下，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7月15日前集中清运一次，交有资质的单位处置；处置单位在贮存、清洗、破碎等环节应按要求对VOCs无组织排放废气进行收集、处理。高VOCs含量废水的集输、储存和处理环节，应加盖密闭。企业中载有气态、液态VOCs物料的设备与管线组件密封点大于等于2000个的，应全面梳理建立台账，6-9月完成一轮泄漏检测与修复（LDAR）工作，及时修复泄漏源；石油炼制、石油化工、合成树脂企业严格按照排放标准要求开展LDAR工作，加强备用泵、在用泵、调节阀、搅拌器、开口管线等检测工作，强化质量控制；要将VOCs治理设施和储罐的密封点纳入检测计划中；</w:t>
                  </w:r>
                </w:p>
              </w:tc>
              <w:tc>
                <w:tcPr>
                  <w:tcW w:w="1247" w:type="pct"/>
                  <w:tcBorders>
                    <w:tl2br w:val="nil"/>
                    <w:tr2bl w:val="nil"/>
                  </w:tcBorders>
                  <w:noWrap w:val="0"/>
                  <w:vAlign w:val="center"/>
                </w:tcPr>
                <w:p w14:paraId="591AD083">
                  <w:pPr>
                    <w:jc w:val="center"/>
                    <w:rPr>
                      <w:rFonts w:hint="eastAsia"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w:t>
                  </w:r>
                  <w:r>
                    <w:rPr>
                      <w:rFonts w:hint="eastAsia" w:cs="Times New Roman"/>
                      <w:b w:val="0"/>
                      <w:bCs w:val="0"/>
                      <w:color w:val="auto"/>
                      <w:sz w:val="21"/>
                      <w:szCs w:val="21"/>
                      <w:lang w:val="en-US" w:eastAsia="zh-CN" w:bidi="ar"/>
                    </w:rPr>
                    <w:t>中空玻璃生产车间为密闭，非取用状态容器密闭。</w:t>
                  </w:r>
                  <w:r>
                    <w:rPr>
                      <w:rFonts w:hint="default" w:ascii="Times New Roman" w:hAnsi="Times New Roman" w:eastAsia="宋体" w:cs="Times New Roman"/>
                      <w:b w:val="0"/>
                      <w:bCs w:val="0"/>
                      <w:color w:val="auto"/>
                      <w:kern w:val="0"/>
                      <w:sz w:val="21"/>
                      <w:szCs w:val="21"/>
                      <w:lang w:val="en-US" w:eastAsia="zh-CN" w:bidi="ar"/>
                    </w:rPr>
                    <w:t>盛装过VOCs物料的</w:t>
                  </w:r>
                  <w:r>
                    <w:rPr>
                      <w:rFonts w:hint="eastAsia" w:cs="Times New Roman"/>
                      <w:b w:val="0"/>
                      <w:bCs w:val="0"/>
                      <w:color w:val="auto"/>
                      <w:kern w:val="0"/>
                      <w:sz w:val="21"/>
                      <w:szCs w:val="21"/>
                      <w:lang w:val="en-US" w:eastAsia="zh-CN" w:bidi="ar"/>
                    </w:rPr>
                    <w:t>废胶桶加盖密闭，在危废暂存间贮存。</w:t>
                  </w:r>
                  <w:r>
                    <w:rPr>
                      <w:rFonts w:hint="eastAsia" w:cs="Times New Roman"/>
                      <w:b w:val="0"/>
                      <w:bCs w:val="0"/>
                      <w:color w:val="auto"/>
                      <w:sz w:val="21"/>
                      <w:szCs w:val="21"/>
                      <w:lang w:val="en-US" w:eastAsia="zh-CN" w:bidi="ar"/>
                    </w:rPr>
                    <w:t>所用胶粘剂均为桶装密封，</w:t>
                  </w:r>
                  <w:r>
                    <w:rPr>
                      <w:rFonts w:hint="eastAsia" w:ascii="Times New Roman" w:hAnsi="Times New Roman" w:cs="Times New Roman"/>
                      <w:b w:val="0"/>
                      <w:bCs w:val="0"/>
                      <w:color w:val="auto"/>
                      <w:sz w:val="21"/>
                      <w:szCs w:val="21"/>
                      <w:lang w:val="en-US" w:eastAsia="zh-CN" w:bidi="ar"/>
                    </w:rPr>
                    <w:t>在</w:t>
                  </w:r>
                  <w:r>
                    <w:rPr>
                      <w:rFonts w:hint="eastAsia" w:cs="Times New Roman"/>
                      <w:b w:val="0"/>
                      <w:bCs w:val="0"/>
                      <w:color w:val="000000"/>
                      <w:kern w:val="2"/>
                      <w:sz w:val="21"/>
                      <w:szCs w:val="21"/>
                      <w:lang w:val="en-US" w:eastAsia="zh-CN" w:bidi="ar"/>
                    </w:rPr>
                    <w:t>调胶、涂胶、封胶过程中产生的有机废气（包括危废暂存间废胶桶挥发的废气），通过设置集气罩收集，经二级活性炭吸附装置吸附处理后由15m高排气筒排放，</w:t>
                  </w:r>
                  <w:r>
                    <w:rPr>
                      <w:rFonts w:hint="eastAsia" w:ascii="Times New Roman" w:hAnsi="Times New Roman" w:eastAsia="宋体" w:cs="Times New Roman"/>
                      <w:b w:val="0"/>
                      <w:bCs w:val="0"/>
                      <w:color w:val="auto"/>
                      <w:sz w:val="21"/>
                      <w:szCs w:val="21"/>
                      <w:lang w:val="en-US" w:eastAsia="zh-CN"/>
                    </w:rPr>
                    <w:t>通过以上措施，废气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416" w:type="pct"/>
                  <w:tcBorders>
                    <w:tl2br w:val="nil"/>
                    <w:tr2bl w:val="nil"/>
                  </w:tcBorders>
                  <w:noWrap w:val="0"/>
                  <w:vAlign w:val="center"/>
                </w:tcPr>
                <w:p w14:paraId="0AEF31F8">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38A8E2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1" w:type="pct"/>
                  <w:tcBorders>
                    <w:tl2br w:val="nil"/>
                    <w:tr2bl w:val="nil"/>
                  </w:tcBorders>
                  <w:noWrap w:val="0"/>
                  <w:vAlign w:val="center"/>
                </w:tcPr>
                <w:p w14:paraId="3911CB67">
                  <w:pPr>
                    <w:jc w:val="center"/>
                    <w:rPr>
                      <w:rFonts w:hint="eastAsia"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3</w:t>
                  </w:r>
                </w:p>
              </w:tc>
              <w:tc>
                <w:tcPr>
                  <w:tcW w:w="2863" w:type="pct"/>
                  <w:tcBorders>
                    <w:tl2br w:val="nil"/>
                    <w:tr2bl w:val="nil"/>
                  </w:tcBorders>
                  <w:noWrap w:val="0"/>
                  <w:vAlign w:val="center"/>
                </w:tcPr>
                <w:p w14:paraId="0C5B6614">
                  <w:pPr>
                    <w:widowControl/>
                    <w:jc w:val="center"/>
                    <w:rPr>
                      <w:rFonts w:hint="default" w:ascii="Times New Roman" w:hAnsi="Times New Roman" w:eastAsia="宋体" w:cs="Times New Roman"/>
                      <w:b w:val="0"/>
                      <w:bCs w:val="0"/>
                      <w:color w:val="auto"/>
                      <w:kern w:val="0"/>
                      <w:sz w:val="21"/>
                      <w:szCs w:val="21"/>
                      <w:lang w:val="en-US" w:bidi="ar"/>
                    </w:rPr>
                  </w:pPr>
                  <w:r>
                    <w:rPr>
                      <w:rFonts w:hint="default" w:ascii="Times New Roman" w:hAnsi="Times New Roman" w:eastAsia="宋体" w:cs="Times New Roman"/>
                      <w:b w:val="0"/>
                      <w:bCs w:val="0"/>
                      <w:color w:val="auto"/>
                      <w:kern w:val="0"/>
                      <w:sz w:val="21"/>
                      <w:szCs w:val="21"/>
                      <w:lang w:val="en-US" w:eastAsia="zh-CN" w:bidi="ar"/>
                    </w:rPr>
                    <w:t>按照“应收尽收”的原则提升废气收集率。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按照“适宜高效”的原则提高治理设施去除率，不得稀释排放。企业新建治污设施或对现有治污设施实施改造，应依据排放废气特征、VOCs组分及浓度、生产工况等，合理选择治理技术，对治理难度大、单一治理工艺难以稳定达标的，要采用多种技术的组合工艺。采用活性炭吸附技术的，应选择碘值不低于800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r>
                    <w:rPr>
                      <w:rFonts w:hint="eastAsia" w:cs="Times New Roman"/>
                      <w:b w:val="0"/>
                      <w:bCs w:val="0"/>
                      <w:color w:val="auto"/>
                      <w:kern w:val="0"/>
                      <w:sz w:val="21"/>
                      <w:szCs w:val="21"/>
                      <w:lang w:val="en-US" w:eastAsia="zh-CN" w:bidi="ar"/>
                    </w:rPr>
                    <w:t>。</w:t>
                  </w:r>
                </w:p>
              </w:tc>
              <w:tc>
                <w:tcPr>
                  <w:tcW w:w="1247" w:type="pct"/>
                  <w:tcBorders>
                    <w:tl2br w:val="nil"/>
                    <w:tr2bl w:val="nil"/>
                  </w:tcBorders>
                  <w:noWrap w:val="0"/>
                  <w:vAlign w:val="center"/>
                </w:tcPr>
                <w:p w14:paraId="24C88078">
                  <w:pPr>
                    <w:jc w:val="center"/>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项目在</w:t>
                  </w:r>
                  <w:r>
                    <w:rPr>
                      <w:rFonts w:hint="eastAsia" w:cs="Times New Roman"/>
                      <w:b w:val="0"/>
                      <w:bCs w:val="0"/>
                      <w:color w:val="000000"/>
                      <w:kern w:val="2"/>
                      <w:sz w:val="21"/>
                      <w:szCs w:val="21"/>
                      <w:lang w:val="en-US" w:eastAsia="zh-CN" w:bidi="ar"/>
                    </w:rPr>
                    <w:t>调胶、涂胶、封胶过程中产生的有机废气，通过设置集气罩收集，经二级活性炭吸附装置吸附处理后由15m高排气筒排放，</w:t>
                  </w:r>
                  <w:r>
                    <w:rPr>
                      <w:rFonts w:hint="eastAsia" w:cs="Times New Roman"/>
                      <w:b w:val="0"/>
                      <w:bCs w:val="0"/>
                      <w:color w:val="000000"/>
                      <w:sz w:val="21"/>
                      <w:szCs w:val="21"/>
                      <w:shd w:val="clear" w:color="auto" w:fill="FFFFFF"/>
                      <w:lang w:val="en-US" w:eastAsia="zh-CN"/>
                    </w:rPr>
                    <w:t>本次评价建议企业选择与碘值800毫克/克颗粒状、柱状等活性炭吸附效率相当的蜂窝状活性炭，并按照设计要求足量添加、及时更换，确保废气达标排放</w:t>
                  </w:r>
                  <w:r>
                    <w:rPr>
                      <w:rFonts w:hint="default" w:ascii="Times New Roman" w:hAnsi="Times New Roman" w:eastAsia="宋体" w:cs="Times New Roman"/>
                      <w:b w:val="0"/>
                      <w:bCs w:val="0"/>
                      <w:color w:val="auto"/>
                      <w:sz w:val="21"/>
                      <w:szCs w:val="21"/>
                      <w:lang w:bidi="ar"/>
                    </w:rPr>
                    <w:t>。</w:t>
                  </w:r>
                </w:p>
              </w:tc>
              <w:tc>
                <w:tcPr>
                  <w:tcW w:w="416" w:type="pct"/>
                  <w:tcBorders>
                    <w:tl2br w:val="nil"/>
                    <w:tr2bl w:val="nil"/>
                  </w:tcBorders>
                  <w:noWrap w:val="0"/>
                  <w:vAlign w:val="center"/>
                </w:tcPr>
                <w:p w14:paraId="5427F2AB">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bl>
          <w:p w14:paraId="75A2CBA6">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综上所述，本项目符合《2020年挥发性有机物治理攻坚方案》</w:t>
            </w:r>
            <w:r>
              <w:rPr>
                <w:rFonts w:hint="default" w:ascii="Times New Roman" w:hAnsi="Times New Roman" w:cs="Times New Roman"/>
                <w:spacing w:val="-5"/>
                <w:sz w:val="24"/>
                <w:szCs w:val="24"/>
              </w:rPr>
              <w:t>的相关要求。</w:t>
            </w:r>
          </w:p>
          <w:p w14:paraId="50EAB6D3">
            <w:pPr>
              <w:numPr>
                <w:ilvl w:val="0"/>
                <w:numId w:val="0"/>
              </w:numPr>
              <w:spacing w:line="360" w:lineRule="auto"/>
              <w:ind w:left="0" w:leftChars="0" w:firstLine="0" w:firstLineChars="0"/>
              <w:rPr>
                <w:rFonts w:ascii="Times New Roman" w:hAnsi="Times New Roman"/>
                <w:b/>
                <w:bCs/>
                <w:color w:val="auto"/>
                <w:sz w:val="24"/>
              </w:rPr>
            </w:pPr>
            <w:r>
              <w:rPr>
                <w:rFonts w:ascii="Times New Roman" w:hAnsi="Times New Roman" w:eastAsia="宋体" w:cs="Times New Roman"/>
                <w:b/>
                <w:bCs/>
                <w:color w:val="auto"/>
                <w:kern w:val="2"/>
                <w:sz w:val="24"/>
                <w:szCs w:val="24"/>
                <w:lang w:val="en-US" w:eastAsia="zh-CN" w:bidi="ar-SA"/>
              </w:rPr>
              <w:t>7、</w:t>
            </w:r>
            <w:r>
              <w:rPr>
                <w:rFonts w:ascii="Times New Roman" w:hAnsi="Times New Roman"/>
                <w:b/>
                <w:bCs/>
                <w:color w:val="auto"/>
                <w:sz w:val="24"/>
              </w:rPr>
              <w:t>与《挥发性有机物（VOCs）污染防治技术政策》的符合性分析</w:t>
            </w:r>
          </w:p>
          <w:p w14:paraId="1BAD5D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72" w:firstLineChars="200"/>
              <w:textAlignment w:val="auto"/>
              <w:rPr>
                <w:rFonts w:hint="eastAsia" w:ascii="Times New Roman" w:hAnsi="Times New Roman" w:eastAsia="宋体" w:cs="Times New Roman"/>
                <w:spacing w:val="-2"/>
                <w:kern w:val="2"/>
                <w:sz w:val="24"/>
                <w:szCs w:val="24"/>
                <w:lang w:val="en-US" w:eastAsia="zh-CN" w:bidi="ar-SA"/>
              </w:rPr>
            </w:pPr>
            <w:r>
              <w:rPr>
                <w:rFonts w:hint="eastAsia" w:ascii="Times New Roman" w:hAnsi="Times New Roman" w:eastAsia="宋体" w:cs="Times New Roman"/>
                <w:spacing w:val="-2"/>
                <w:kern w:val="2"/>
                <w:sz w:val="24"/>
                <w:szCs w:val="24"/>
                <w:lang w:val="en-US" w:eastAsia="zh-CN" w:bidi="ar-SA"/>
              </w:rPr>
              <w:t>本项目与</w:t>
            </w:r>
            <w:r>
              <w:rPr>
                <w:rFonts w:hint="default" w:ascii="Times New Roman" w:hAnsi="Times New Roman" w:eastAsia="宋体" w:cs="Times New Roman"/>
                <w:spacing w:val="-2"/>
                <w:kern w:val="2"/>
                <w:sz w:val="24"/>
                <w:szCs w:val="24"/>
                <w:lang w:val="en-US" w:eastAsia="en-US" w:bidi="ar-SA"/>
              </w:rPr>
              <w:t>《挥发性有机物（VOCs）污染防治技术政策》</w:t>
            </w:r>
            <w:r>
              <w:rPr>
                <w:rFonts w:hint="eastAsia" w:ascii="Times New Roman" w:hAnsi="Times New Roman" w:eastAsia="宋体" w:cs="Times New Roman"/>
                <w:spacing w:val="-2"/>
                <w:kern w:val="2"/>
                <w:sz w:val="24"/>
                <w:szCs w:val="24"/>
                <w:lang w:val="en-US" w:eastAsia="zh-CN" w:bidi="ar-SA"/>
              </w:rPr>
              <w:t>相符性见下表。</w:t>
            </w:r>
          </w:p>
          <w:p w14:paraId="23A34E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9</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与挥发性有机物（VOCs）污染防治技术政策相符性分析一览表</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503"/>
              <w:gridCol w:w="2782"/>
              <w:gridCol w:w="875"/>
            </w:tblGrid>
            <w:tr w14:paraId="769843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3" w:type="pct"/>
                  <w:tcBorders>
                    <w:tl2br w:val="nil"/>
                    <w:tr2bl w:val="nil"/>
                  </w:tcBorders>
                  <w:noWrap w:val="0"/>
                  <w:vAlign w:val="center"/>
                </w:tcPr>
                <w:p w14:paraId="0D4ABF65">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序号</w:t>
                  </w:r>
                </w:p>
              </w:tc>
              <w:tc>
                <w:tcPr>
                  <w:tcW w:w="2214" w:type="pct"/>
                  <w:tcBorders>
                    <w:tl2br w:val="nil"/>
                    <w:tr2bl w:val="nil"/>
                  </w:tcBorders>
                  <w:noWrap w:val="0"/>
                  <w:vAlign w:val="center"/>
                </w:tcPr>
                <w:p w14:paraId="3A18C2A3">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挥发性有机物（VOCs）污染防治技术政策</w:t>
                  </w:r>
                  <w:r>
                    <w:rPr>
                      <w:rFonts w:hint="default" w:ascii="Times New Roman" w:hAnsi="Times New Roman" w:eastAsia="宋体" w:cs="Times New Roman"/>
                      <w:color w:val="auto"/>
                      <w:kern w:val="2"/>
                      <w:sz w:val="21"/>
                      <w:szCs w:val="21"/>
                      <w:lang w:val="en-US" w:eastAsia="zh-CN" w:bidi="ar-SA"/>
                    </w:rPr>
                    <w:t>（节选）</w:t>
                  </w:r>
                </w:p>
              </w:tc>
              <w:tc>
                <w:tcPr>
                  <w:tcW w:w="1758" w:type="pct"/>
                  <w:tcBorders>
                    <w:tl2br w:val="nil"/>
                    <w:tr2bl w:val="nil"/>
                  </w:tcBorders>
                  <w:noWrap w:val="0"/>
                  <w:vAlign w:val="center"/>
                </w:tcPr>
                <w:p w14:paraId="55CD28B6">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项目情况</w:t>
                  </w:r>
                </w:p>
              </w:tc>
              <w:tc>
                <w:tcPr>
                  <w:tcW w:w="553" w:type="pct"/>
                  <w:tcBorders>
                    <w:tl2br w:val="nil"/>
                    <w:tr2bl w:val="nil"/>
                  </w:tcBorders>
                  <w:noWrap w:val="0"/>
                  <w:vAlign w:val="center"/>
                </w:tcPr>
                <w:p w14:paraId="746A3790">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相符性</w:t>
                  </w:r>
                </w:p>
              </w:tc>
            </w:tr>
            <w:tr w14:paraId="3A1BE9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l2br w:val="nil"/>
                    <w:tr2bl w:val="nil"/>
                  </w:tcBorders>
                  <w:noWrap w:val="0"/>
                  <w:vAlign w:val="center"/>
                </w:tcPr>
                <w:p w14:paraId="076EFCCD">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1</w:t>
                  </w:r>
                </w:p>
              </w:tc>
              <w:tc>
                <w:tcPr>
                  <w:tcW w:w="2214" w:type="pct"/>
                  <w:tcBorders>
                    <w:tl2br w:val="nil"/>
                    <w:tr2bl w:val="nil"/>
                  </w:tcBorders>
                  <w:noWrap w:val="0"/>
                  <w:vAlign w:val="center"/>
                </w:tcPr>
                <w:p w14:paraId="30E85469">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val="en-US" w:eastAsia="zh-CN" w:bidi="ar"/>
                    </w:rPr>
                    <w:t>VOCs污染防治应遵循源头和过程控制与末端治理相结合的综合防治原则。在工业生产中采用清洁生产技术，严格控制含VOCs原料与产品在生产和储运销过程中的VOCs排放，鼓励对资源和能源的回收利用</w:t>
                  </w:r>
                  <w:r>
                    <w:rPr>
                      <w:rFonts w:hint="eastAsia" w:cs="Times New Roman"/>
                      <w:b w:val="0"/>
                      <w:bCs w:val="0"/>
                      <w:color w:val="auto"/>
                      <w:sz w:val="21"/>
                      <w:szCs w:val="21"/>
                      <w:lang w:val="en-US" w:eastAsia="zh-CN" w:bidi="ar"/>
                    </w:rPr>
                    <w:t>；</w:t>
                  </w:r>
                  <w:r>
                    <w:rPr>
                      <w:rFonts w:hint="default" w:ascii="Times New Roman" w:hAnsi="Times New Roman" w:eastAsia="宋体" w:cs="Times New Roman"/>
                      <w:b w:val="0"/>
                      <w:bCs w:val="0"/>
                      <w:color w:val="auto"/>
                      <w:sz w:val="21"/>
                      <w:szCs w:val="21"/>
                      <w:lang w:val="en-US" w:eastAsia="zh-CN" w:bidi="ar"/>
                    </w:rPr>
                    <w:t>鼓励在生产和生活中使用不含VOCs的替代产品或低VOCs含量的产品</w:t>
                  </w:r>
                  <w:r>
                    <w:rPr>
                      <w:rFonts w:hint="default" w:ascii="Times New Roman" w:hAnsi="Times New Roman" w:eastAsia="宋体" w:cs="Times New Roman"/>
                      <w:b w:val="0"/>
                      <w:bCs w:val="0"/>
                      <w:color w:val="auto"/>
                      <w:sz w:val="21"/>
                      <w:szCs w:val="21"/>
                      <w:lang w:bidi="ar"/>
                    </w:rPr>
                    <w:t>。</w:t>
                  </w:r>
                </w:p>
              </w:tc>
              <w:tc>
                <w:tcPr>
                  <w:tcW w:w="1758" w:type="pct"/>
                  <w:tcBorders>
                    <w:tl2br w:val="nil"/>
                    <w:tr2bl w:val="nil"/>
                  </w:tcBorders>
                  <w:noWrap w:val="0"/>
                  <w:vAlign w:val="center"/>
                </w:tcPr>
                <w:p w14:paraId="3F355F7B">
                  <w:pPr>
                    <w:jc w:val="center"/>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w:t>
                  </w:r>
                  <w:r>
                    <w:rPr>
                      <w:rFonts w:hint="eastAsia" w:cs="Times New Roman"/>
                      <w:b w:val="0"/>
                      <w:bCs w:val="0"/>
                      <w:color w:val="auto"/>
                      <w:sz w:val="21"/>
                      <w:szCs w:val="21"/>
                      <w:lang w:val="en-US" w:eastAsia="zh-CN" w:bidi="ar"/>
                    </w:rPr>
                    <w:t>用胶VOCs含量2.8%以下，</w:t>
                  </w:r>
                  <w:r>
                    <w:rPr>
                      <w:rFonts w:hint="eastAsia" w:ascii="Times New Roman" w:hAnsi="Times New Roman" w:cs="Times New Roman"/>
                      <w:b w:val="0"/>
                      <w:bCs w:val="0"/>
                      <w:color w:val="auto"/>
                      <w:sz w:val="21"/>
                      <w:szCs w:val="21"/>
                      <w:lang w:val="en-US" w:eastAsia="zh-CN" w:bidi="ar"/>
                    </w:rPr>
                    <w:t>在</w:t>
                  </w:r>
                  <w:r>
                    <w:rPr>
                      <w:rFonts w:hint="eastAsia" w:cs="Times New Roman"/>
                      <w:b w:val="0"/>
                      <w:bCs w:val="0"/>
                      <w:color w:val="000000"/>
                      <w:kern w:val="2"/>
                      <w:sz w:val="21"/>
                      <w:szCs w:val="21"/>
                      <w:lang w:val="en-US" w:eastAsia="zh-CN" w:bidi="ar"/>
                    </w:rPr>
                    <w:t>调胶、涂胶、封胶过程中产生的有机废气，通过设置集气罩收集，经二级活性炭吸附装置吸附处理后由15m高排气筒排放</w:t>
                  </w:r>
                  <w:r>
                    <w:rPr>
                      <w:rFonts w:hint="eastAsia"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rPr>
                    <w:t>通过以上措施，废气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553" w:type="pct"/>
                  <w:tcBorders>
                    <w:tl2br w:val="nil"/>
                    <w:tr2bl w:val="nil"/>
                  </w:tcBorders>
                  <w:noWrap w:val="0"/>
                  <w:vAlign w:val="center"/>
                </w:tcPr>
                <w:p w14:paraId="6752DDAB">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01EEF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73" w:type="pct"/>
                  <w:tcBorders>
                    <w:tl2br w:val="nil"/>
                    <w:tr2bl w:val="nil"/>
                  </w:tcBorders>
                  <w:noWrap w:val="0"/>
                  <w:vAlign w:val="center"/>
                </w:tcPr>
                <w:p w14:paraId="47E56E88">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2</w:t>
                  </w:r>
                </w:p>
              </w:tc>
              <w:tc>
                <w:tcPr>
                  <w:tcW w:w="2214" w:type="pct"/>
                  <w:tcBorders>
                    <w:tl2br w:val="nil"/>
                    <w:tr2bl w:val="nil"/>
                  </w:tcBorders>
                  <w:noWrap w:val="0"/>
                  <w:vAlign w:val="center"/>
                </w:tcPr>
                <w:p w14:paraId="1A21B0A7">
                  <w:pPr>
                    <w:widowControl/>
                    <w:jc w:val="center"/>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在涂装、印刷、粘合、工业清洗等含VOCs产品的使用过程中的VOCs污染防治技术措施包括：</w:t>
                  </w:r>
                </w:p>
                <w:p w14:paraId="17FA6FB8">
                  <w:pPr>
                    <w:widowControl/>
                    <w:jc w:val="center"/>
                    <w:rPr>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color w:val="auto"/>
                      <w:sz w:val="21"/>
                      <w:szCs w:val="21"/>
                      <w:lang w:val="en-US" w:eastAsia="zh-CN" w:bidi="ar"/>
                    </w:rPr>
                    <w:t>1.鼓励使用通过环境标志产品认证环保型涂料、油墨、胶粘剂和清洗剂；</w:t>
                  </w:r>
                </w:p>
                <w:p w14:paraId="2C07745E">
                  <w:pPr>
                    <w:widowControl/>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val="en-US" w:eastAsia="zh-CN" w:bidi="ar"/>
                    </w:rPr>
                    <w:t>2.根据涂装工艺的不同，鼓励使用水性涂料、高固份涂料、粉末涂料、紫外光固化（UV）涂料等环保型涂料；推广采用静电喷涂、淋涂、辊涂、浸涂等效率较高的涂装工艺；应尽量避免无VOCs净化、回收措施的露天喷涂作业；</w:t>
                  </w:r>
                </w:p>
              </w:tc>
              <w:tc>
                <w:tcPr>
                  <w:tcW w:w="1758" w:type="pct"/>
                  <w:tcBorders>
                    <w:tl2br w:val="nil"/>
                    <w:tr2bl w:val="nil"/>
                  </w:tcBorders>
                  <w:noWrap w:val="0"/>
                  <w:vAlign w:val="center"/>
                </w:tcPr>
                <w:p w14:paraId="52C1C67F">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w:t>
                  </w:r>
                  <w:r>
                    <w:rPr>
                      <w:rFonts w:hint="eastAsia" w:cs="Times New Roman"/>
                      <w:b w:val="0"/>
                      <w:bCs w:val="0"/>
                      <w:color w:val="auto"/>
                      <w:sz w:val="21"/>
                      <w:szCs w:val="21"/>
                      <w:lang w:val="en-US" w:eastAsia="zh-CN" w:bidi="ar"/>
                    </w:rPr>
                    <w:t>用胶满足环保要求，</w:t>
                  </w:r>
                  <w:r>
                    <w:rPr>
                      <w:rFonts w:hint="eastAsia" w:ascii="Times New Roman" w:hAnsi="Times New Roman" w:cs="Times New Roman"/>
                      <w:b w:val="0"/>
                      <w:bCs w:val="0"/>
                      <w:color w:val="auto"/>
                      <w:sz w:val="21"/>
                      <w:szCs w:val="21"/>
                      <w:lang w:val="en-US" w:eastAsia="zh-CN" w:bidi="ar"/>
                    </w:rPr>
                    <w:t>在</w:t>
                  </w:r>
                  <w:r>
                    <w:rPr>
                      <w:rFonts w:hint="eastAsia" w:cs="Times New Roman"/>
                      <w:b w:val="0"/>
                      <w:bCs w:val="0"/>
                      <w:color w:val="000000"/>
                      <w:kern w:val="2"/>
                      <w:sz w:val="21"/>
                      <w:szCs w:val="21"/>
                      <w:lang w:val="en-US" w:eastAsia="zh-CN" w:bidi="ar"/>
                    </w:rPr>
                    <w:t>调胶、涂胶、封胶过程中产生的有机废气，通过设置集气罩收集，经二级活性炭吸附装置吸附处理后由15m高排气筒排放</w:t>
                  </w:r>
                  <w:r>
                    <w:rPr>
                      <w:rFonts w:hint="eastAsia" w:cs="Times New Roman"/>
                      <w:b w:val="0"/>
                      <w:bCs w:val="0"/>
                      <w:color w:val="auto"/>
                      <w:sz w:val="21"/>
                      <w:szCs w:val="21"/>
                      <w:lang w:val="en-US" w:eastAsia="zh-CN" w:bidi="ar"/>
                    </w:rPr>
                    <w:t>；</w:t>
                  </w:r>
                  <w:r>
                    <w:rPr>
                      <w:rFonts w:hint="eastAsia" w:ascii="Times New Roman" w:hAnsi="Times New Roman" w:eastAsia="宋体" w:cs="Times New Roman"/>
                      <w:b w:val="0"/>
                      <w:bCs w:val="0"/>
                      <w:color w:val="auto"/>
                      <w:sz w:val="21"/>
                      <w:szCs w:val="21"/>
                      <w:lang w:val="en-US" w:eastAsia="zh-CN"/>
                    </w:rPr>
                    <w:t>通过以上措施，废气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553" w:type="pct"/>
                  <w:tcBorders>
                    <w:tl2br w:val="nil"/>
                    <w:tr2bl w:val="nil"/>
                  </w:tcBorders>
                  <w:noWrap w:val="0"/>
                  <w:vAlign w:val="center"/>
                </w:tcPr>
                <w:p w14:paraId="50993D07">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042FCA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3" w:type="pct"/>
                  <w:tcBorders>
                    <w:tl2br w:val="nil"/>
                    <w:tr2bl w:val="nil"/>
                  </w:tcBorders>
                  <w:noWrap w:val="0"/>
                  <w:vAlign w:val="center"/>
                </w:tcPr>
                <w:p w14:paraId="52DE6FDB">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3</w:t>
                  </w:r>
                </w:p>
              </w:tc>
              <w:tc>
                <w:tcPr>
                  <w:tcW w:w="2214" w:type="pct"/>
                  <w:tcBorders>
                    <w:tl2br w:val="nil"/>
                    <w:tr2bl w:val="nil"/>
                  </w:tcBorders>
                  <w:noWrap w:val="0"/>
                  <w:vAlign w:val="center"/>
                </w:tcPr>
                <w:p w14:paraId="1E08225D">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3.在印刷工艺中推广使用水性油墨，印铁制罐行业鼓励使用紫外光固化（UV）油墨，书刊印刷行业鼓励使用预涂膜技术；</w:t>
                  </w:r>
                </w:p>
              </w:tc>
              <w:tc>
                <w:tcPr>
                  <w:tcW w:w="1758" w:type="pct"/>
                  <w:tcBorders>
                    <w:tl2br w:val="nil"/>
                    <w:tr2bl w:val="nil"/>
                  </w:tcBorders>
                  <w:noWrap w:val="0"/>
                  <w:vAlign w:val="center"/>
                </w:tcPr>
                <w:p w14:paraId="344F3E96">
                  <w:pPr>
                    <w:jc w:val="center"/>
                    <w:rPr>
                      <w:rFonts w:hint="default" w:ascii="Times New Roman" w:hAnsi="Times New Roman" w:eastAsia="宋体" w:cs="Times New Roman"/>
                      <w:b w:val="0"/>
                      <w:bCs w:val="0"/>
                      <w:color w:val="auto"/>
                      <w:sz w:val="21"/>
                      <w:szCs w:val="21"/>
                      <w:lang w:bidi="ar"/>
                    </w:rPr>
                  </w:pPr>
                  <w:r>
                    <w:rPr>
                      <w:rFonts w:hint="eastAsia" w:cs="Times New Roman"/>
                      <w:b w:val="0"/>
                      <w:bCs w:val="0"/>
                      <w:color w:val="auto"/>
                      <w:sz w:val="21"/>
                      <w:szCs w:val="21"/>
                      <w:lang w:val="en-US" w:eastAsia="zh-CN" w:bidi="ar"/>
                    </w:rPr>
                    <w:t>本项目不涉及</w:t>
                  </w:r>
                  <w:r>
                    <w:rPr>
                      <w:rFonts w:hint="default" w:ascii="Times New Roman" w:hAnsi="Times New Roman" w:eastAsia="宋体" w:cs="Times New Roman"/>
                      <w:b w:val="0"/>
                      <w:bCs w:val="0"/>
                      <w:color w:val="auto"/>
                      <w:sz w:val="21"/>
                      <w:szCs w:val="21"/>
                      <w:lang w:bidi="ar"/>
                    </w:rPr>
                    <w:t>。</w:t>
                  </w:r>
                </w:p>
              </w:tc>
              <w:tc>
                <w:tcPr>
                  <w:tcW w:w="553" w:type="pct"/>
                  <w:tcBorders>
                    <w:tl2br w:val="nil"/>
                    <w:tr2bl w:val="nil"/>
                  </w:tcBorders>
                  <w:noWrap w:val="0"/>
                  <w:vAlign w:val="center"/>
                </w:tcPr>
                <w:p w14:paraId="1750B702">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7F9A4F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3" w:type="pct"/>
                  <w:tcBorders>
                    <w:tl2br w:val="nil"/>
                    <w:tr2bl w:val="nil"/>
                  </w:tcBorders>
                  <w:noWrap w:val="0"/>
                  <w:vAlign w:val="center"/>
                </w:tcPr>
                <w:p w14:paraId="6CD8FB98">
                  <w:pPr>
                    <w:jc w:val="center"/>
                    <w:rPr>
                      <w:rFonts w:hint="eastAsia" w:ascii="Times New Roman" w:hAnsi="Times New Roman" w:eastAsia="宋体" w:cs="Times New Roman"/>
                      <w:b w:val="0"/>
                      <w:bCs w:val="0"/>
                      <w:color w:val="auto"/>
                      <w:sz w:val="21"/>
                      <w:szCs w:val="21"/>
                      <w:lang w:val="en-US" w:eastAsia="zh-CN" w:bidi="ar"/>
                    </w:rPr>
                  </w:pPr>
                  <w:r>
                    <w:rPr>
                      <w:rFonts w:hint="eastAsia" w:ascii="Times New Roman" w:hAnsi="Times New Roman" w:cs="Times New Roman"/>
                      <w:b w:val="0"/>
                      <w:bCs w:val="0"/>
                      <w:color w:val="auto"/>
                      <w:sz w:val="21"/>
                      <w:szCs w:val="21"/>
                      <w:lang w:val="en-US" w:eastAsia="zh-CN" w:bidi="ar"/>
                    </w:rPr>
                    <w:t>4</w:t>
                  </w:r>
                </w:p>
              </w:tc>
              <w:tc>
                <w:tcPr>
                  <w:tcW w:w="2214" w:type="pct"/>
                  <w:tcBorders>
                    <w:tl2br w:val="nil"/>
                    <w:tr2bl w:val="nil"/>
                  </w:tcBorders>
                  <w:noWrap w:val="0"/>
                  <w:vAlign w:val="center"/>
                </w:tcPr>
                <w:p w14:paraId="7D91BE7E">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4.鼓励在人造板、制鞋、皮革制品、包装材料等粘合过程中使用水基型、热熔型等环保型胶粘剂，在复合膜的生产中推广无溶剂复合及共挤出复合技术；</w:t>
                  </w:r>
                </w:p>
              </w:tc>
              <w:tc>
                <w:tcPr>
                  <w:tcW w:w="1758" w:type="pct"/>
                  <w:tcBorders>
                    <w:tl2br w:val="nil"/>
                    <w:tr2bl w:val="nil"/>
                  </w:tcBorders>
                  <w:noWrap w:val="0"/>
                  <w:vAlign w:val="center"/>
                </w:tcPr>
                <w:p w14:paraId="5CDF72A9">
                  <w:pPr>
                    <w:jc w:val="center"/>
                    <w:rPr>
                      <w:rFonts w:hint="default" w:ascii="Times New Roman" w:hAnsi="Times New Roman" w:eastAsia="宋体" w:cs="Times New Roman"/>
                      <w:b w:val="0"/>
                      <w:bCs w:val="0"/>
                      <w:color w:val="auto"/>
                      <w:sz w:val="21"/>
                      <w:szCs w:val="21"/>
                      <w:lang w:val="en-US" w:eastAsia="zh-CN" w:bidi="ar"/>
                    </w:rPr>
                  </w:pPr>
                  <w:r>
                    <w:rPr>
                      <w:rFonts w:hint="eastAsia" w:cs="Times New Roman"/>
                      <w:b w:val="0"/>
                      <w:bCs w:val="0"/>
                      <w:color w:val="auto"/>
                      <w:sz w:val="21"/>
                      <w:szCs w:val="21"/>
                      <w:lang w:val="en-US" w:eastAsia="zh-CN" w:bidi="ar"/>
                    </w:rPr>
                    <w:t>本项目不涉及</w:t>
                  </w:r>
                  <w:r>
                    <w:rPr>
                      <w:rFonts w:hint="default" w:ascii="Times New Roman" w:hAnsi="Times New Roman" w:eastAsia="宋体" w:cs="Times New Roman"/>
                      <w:b w:val="0"/>
                      <w:bCs w:val="0"/>
                      <w:color w:val="auto"/>
                      <w:sz w:val="21"/>
                      <w:szCs w:val="21"/>
                      <w:lang w:bidi="ar"/>
                    </w:rPr>
                    <w:t>。</w:t>
                  </w:r>
                </w:p>
              </w:tc>
              <w:tc>
                <w:tcPr>
                  <w:tcW w:w="553" w:type="pct"/>
                  <w:tcBorders>
                    <w:tl2br w:val="nil"/>
                    <w:tr2bl w:val="nil"/>
                  </w:tcBorders>
                  <w:noWrap w:val="0"/>
                  <w:vAlign w:val="center"/>
                </w:tcPr>
                <w:p w14:paraId="52572B1D">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50932C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3" w:type="pct"/>
                  <w:tcBorders>
                    <w:tl2br w:val="nil"/>
                    <w:tr2bl w:val="nil"/>
                  </w:tcBorders>
                  <w:noWrap w:val="0"/>
                  <w:vAlign w:val="center"/>
                </w:tcPr>
                <w:p w14:paraId="41BEE2A7">
                  <w:pPr>
                    <w:jc w:val="center"/>
                    <w:rPr>
                      <w:rFonts w:hint="eastAsia" w:ascii="Times New Roman" w:hAnsi="Times New Roman" w:eastAsia="宋体" w:cs="Times New Roman"/>
                      <w:b w:val="0"/>
                      <w:bCs w:val="0"/>
                      <w:color w:val="auto"/>
                      <w:sz w:val="21"/>
                      <w:szCs w:val="21"/>
                      <w:lang w:val="en-US" w:eastAsia="zh-CN" w:bidi="ar"/>
                    </w:rPr>
                  </w:pPr>
                  <w:r>
                    <w:rPr>
                      <w:rFonts w:hint="eastAsia" w:ascii="Times New Roman" w:hAnsi="Times New Roman" w:cs="Times New Roman"/>
                      <w:b w:val="0"/>
                      <w:bCs w:val="0"/>
                      <w:color w:val="auto"/>
                      <w:sz w:val="21"/>
                      <w:szCs w:val="21"/>
                      <w:lang w:val="en-US" w:eastAsia="zh-CN" w:bidi="ar"/>
                    </w:rPr>
                    <w:t>5</w:t>
                  </w:r>
                </w:p>
              </w:tc>
              <w:tc>
                <w:tcPr>
                  <w:tcW w:w="2214" w:type="pct"/>
                  <w:tcBorders>
                    <w:tl2br w:val="nil"/>
                    <w:tr2bl w:val="nil"/>
                  </w:tcBorders>
                  <w:noWrap w:val="0"/>
                  <w:vAlign w:val="center"/>
                </w:tcPr>
                <w:p w14:paraId="0E58B7EB">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5.淘汰以三氟三氯乙烷、甲基氯仿和四氯化碳为清洗剂或溶剂的生产工艺。清洗过程中产生的废溶剂宜密闭收集，有回收价值的废溶剂经处理后回用，其他废溶剂应妥善处置；</w:t>
                  </w:r>
                </w:p>
              </w:tc>
              <w:tc>
                <w:tcPr>
                  <w:tcW w:w="1758" w:type="pct"/>
                  <w:tcBorders>
                    <w:tl2br w:val="nil"/>
                    <w:tr2bl w:val="nil"/>
                  </w:tcBorders>
                  <w:noWrap w:val="0"/>
                  <w:vAlign w:val="center"/>
                </w:tcPr>
                <w:p w14:paraId="0643162C">
                  <w:pPr>
                    <w:jc w:val="center"/>
                    <w:rPr>
                      <w:rFonts w:hint="default" w:ascii="Times New Roman" w:hAnsi="Times New Roman" w:eastAsia="宋体" w:cs="Times New Roman"/>
                      <w:b w:val="0"/>
                      <w:bCs w:val="0"/>
                      <w:color w:val="auto"/>
                      <w:sz w:val="21"/>
                      <w:szCs w:val="21"/>
                      <w:lang w:val="en-US" w:eastAsia="zh-CN" w:bidi="ar"/>
                    </w:rPr>
                  </w:pPr>
                  <w:r>
                    <w:rPr>
                      <w:rFonts w:hint="eastAsia" w:ascii="Times New Roman" w:hAnsi="Times New Roman" w:cs="Times New Roman"/>
                      <w:b w:val="0"/>
                      <w:bCs w:val="0"/>
                      <w:color w:val="auto"/>
                      <w:sz w:val="21"/>
                      <w:szCs w:val="21"/>
                      <w:lang w:val="en-US" w:eastAsia="zh-CN" w:bidi="ar"/>
                    </w:rPr>
                    <w:t>本项目不涉及。</w:t>
                  </w:r>
                </w:p>
              </w:tc>
              <w:tc>
                <w:tcPr>
                  <w:tcW w:w="553" w:type="pct"/>
                  <w:tcBorders>
                    <w:tl2br w:val="nil"/>
                    <w:tr2bl w:val="nil"/>
                  </w:tcBorders>
                  <w:noWrap w:val="0"/>
                  <w:vAlign w:val="center"/>
                </w:tcPr>
                <w:p w14:paraId="2CC788F0">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r w14:paraId="3A77A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73" w:type="pct"/>
                  <w:tcBorders>
                    <w:tl2br w:val="nil"/>
                    <w:tr2bl w:val="nil"/>
                  </w:tcBorders>
                  <w:noWrap w:val="0"/>
                  <w:vAlign w:val="center"/>
                </w:tcPr>
                <w:p w14:paraId="18AF9F10">
                  <w:pPr>
                    <w:jc w:val="center"/>
                    <w:rPr>
                      <w:rFonts w:hint="eastAsia" w:ascii="Times New Roman" w:hAnsi="Times New Roman" w:eastAsia="宋体" w:cs="Times New Roman"/>
                      <w:b w:val="0"/>
                      <w:bCs w:val="0"/>
                      <w:color w:val="auto"/>
                      <w:sz w:val="21"/>
                      <w:szCs w:val="21"/>
                      <w:lang w:val="en-US" w:eastAsia="zh-CN" w:bidi="ar"/>
                    </w:rPr>
                  </w:pPr>
                  <w:r>
                    <w:rPr>
                      <w:rFonts w:hint="eastAsia" w:ascii="Times New Roman" w:hAnsi="Times New Roman" w:cs="Times New Roman"/>
                      <w:b w:val="0"/>
                      <w:bCs w:val="0"/>
                      <w:color w:val="auto"/>
                      <w:sz w:val="21"/>
                      <w:szCs w:val="21"/>
                      <w:lang w:val="en-US" w:eastAsia="zh-CN" w:bidi="ar"/>
                    </w:rPr>
                    <w:t>6</w:t>
                  </w:r>
                </w:p>
              </w:tc>
              <w:tc>
                <w:tcPr>
                  <w:tcW w:w="2214" w:type="pct"/>
                  <w:tcBorders>
                    <w:tl2br w:val="nil"/>
                    <w:tr2bl w:val="nil"/>
                  </w:tcBorders>
                  <w:noWrap w:val="0"/>
                  <w:vAlign w:val="center"/>
                </w:tcPr>
                <w:p w14:paraId="2AFA2A7F">
                  <w:pPr>
                    <w:widowControl/>
                    <w:jc w:val="center"/>
                    <w:rPr>
                      <w:rFonts w:hint="default" w:ascii="Times New Roman" w:hAnsi="Times New Roman" w:eastAsia="宋体" w:cs="Times New Roman"/>
                      <w:b w:val="0"/>
                      <w:bCs w:val="0"/>
                      <w:color w:val="auto"/>
                      <w:kern w:val="0"/>
                      <w:sz w:val="21"/>
                      <w:szCs w:val="21"/>
                      <w:lang w:bidi="ar"/>
                    </w:rPr>
                  </w:pPr>
                  <w:r>
                    <w:rPr>
                      <w:rFonts w:hint="default" w:ascii="Times New Roman" w:hAnsi="Times New Roman" w:eastAsia="宋体" w:cs="Times New Roman"/>
                      <w:b w:val="0"/>
                      <w:bCs w:val="0"/>
                      <w:color w:val="auto"/>
                      <w:kern w:val="0"/>
                      <w:sz w:val="21"/>
                      <w:szCs w:val="21"/>
                      <w:lang w:val="en-US" w:eastAsia="zh-CN" w:bidi="ar"/>
                    </w:rPr>
                    <w:t>6.含VOCs产品的使用过程中，应采取废气收集措施，提高废气收集效率，减少废气的无组织排放与逸散，并对收集后的废气进行回收或处理后达标排放</w:t>
                  </w:r>
                  <w:r>
                    <w:rPr>
                      <w:rFonts w:hint="default" w:ascii="Times New Roman" w:hAnsi="Times New Roman" w:eastAsia="宋体" w:cs="Times New Roman"/>
                      <w:b w:val="0"/>
                      <w:bCs w:val="0"/>
                      <w:color w:val="auto"/>
                      <w:kern w:val="0"/>
                      <w:sz w:val="21"/>
                      <w:szCs w:val="21"/>
                      <w:lang w:bidi="ar"/>
                    </w:rPr>
                    <w:t>。</w:t>
                  </w:r>
                </w:p>
              </w:tc>
              <w:tc>
                <w:tcPr>
                  <w:tcW w:w="1758" w:type="pct"/>
                  <w:tcBorders>
                    <w:tl2br w:val="nil"/>
                    <w:tr2bl w:val="nil"/>
                  </w:tcBorders>
                  <w:noWrap w:val="0"/>
                  <w:vAlign w:val="center"/>
                </w:tcPr>
                <w:p w14:paraId="00E1A58C">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项目在</w:t>
                  </w:r>
                  <w:r>
                    <w:rPr>
                      <w:rFonts w:hint="eastAsia" w:cs="Times New Roman"/>
                      <w:b w:val="0"/>
                      <w:bCs w:val="0"/>
                      <w:color w:val="000000"/>
                      <w:kern w:val="2"/>
                      <w:sz w:val="21"/>
                      <w:szCs w:val="21"/>
                      <w:lang w:val="en-US" w:eastAsia="zh-CN" w:bidi="ar"/>
                    </w:rPr>
                    <w:t>调胶、涂胶、封胶过程中产生的有机废气，通过设置集气罩收集，经二级活性炭吸附装置吸附处理后由15m高排气筒排放，</w:t>
                  </w:r>
                  <w:r>
                    <w:rPr>
                      <w:rFonts w:hint="eastAsia" w:ascii="Times New Roman" w:hAnsi="Times New Roman" w:eastAsia="宋体" w:cs="Times New Roman"/>
                      <w:b w:val="0"/>
                      <w:bCs w:val="0"/>
                      <w:color w:val="auto"/>
                      <w:sz w:val="21"/>
                      <w:szCs w:val="21"/>
                      <w:lang w:val="en-US" w:eastAsia="zh-CN"/>
                    </w:rPr>
                    <w:t>通过以上措施，废气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553" w:type="pct"/>
                  <w:tcBorders>
                    <w:tl2br w:val="nil"/>
                    <w:tr2bl w:val="nil"/>
                  </w:tcBorders>
                  <w:noWrap w:val="0"/>
                  <w:vAlign w:val="center"/>
                </w:tcPr>
                <w:p w14:paraId="3EF1237F">
                  <w:pPr>
                    <w:jc w:val="center"/>
                    <w:rPr>
                      <w:rFonts w:hint="default" w:ascii="Times New Roman" w:hAnsi="Times New Roman" w:eastAsia="宋体" w:cs="Times New Roman"/>
                      <w:b w:val="0"/>
                      <w:bCs w:val="0"/>
                      <w:color w:val="auto"/>
                      <w:sz w:val="21"/>
                      <w:szCs w:val="21"/>
                      <w:lang w:bidi="ar"/>
                    </w:rPr>
                  </w:pPr>
                  <w:r>
                    <w:rPr>
                      <w:rFonts w:hint="default" w:ascii="Times New Roman" w:hAnsi="Times New Roman" w:eastAsia="宋体" w:cs="Times New Roman"/>
                      <w:b w:val="0"/>
                      <w:bCs w:val="0"/>
                      <w:color w:val="auto"/>
                      <w:sz w:val="21"/>
                      <w:szCs w:val="21"/>
                      <w:lang w:bidi="ar"/>
                    </w:rPr>
                    <w:t>相符</w:t>
                  </w:r>
                </w:p>
              </w:tc>
            </w:tr>
          </w:tbl>
          <w:p w14:paraId="623D8372">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综上所述，本项目符合</w:t>
            </w:r>
            <w:r>
              <w:rPr>
                <w:rFonts w:hint="default" w:ascii="Times New Roman" w:hAnsi="Times New Roman" w:eastAsia="宋体" w:cs="Times New Roman"/>
                <w:spacing w:val="-2"/>
                <w:kern w:val="2"/>
                <w:sz w:val="24"/>
                <w:szCs w:val="24"/>
                <w:lang w:val="en-US" w:eastAsia="en-US" w:bidi="ar-SA"/>
              </w:rPr>
              <w:t>《挥发性有机物（VOCs）污染防治技术政策》</w:t>
            </w:r>
            <w:r>
              <w:rPr>
                <w:rFonts w:hint="default" w:ascii="Times New Roman" w:hAnsi="Times New Roman" w:cs="Times New Roman"/>
                <w:spacing w:val="-5"/>
                <w:sz w:val="24"/>
                <w:szCs w:val="24"/>
              </w:rPr>
              <w:t>的相关要求。</w:t>
            </w:r>
          </w:p>
          <w:p w14:paraId="3239782F">
            <w:pPr>
              <w:numPr>
                <w:ilvl w:val="0"/>
                <w:numId w:val="0"/>
              </w:numPr>
              <w:spacing w:line="360" w:lineRule="auto"/>
              <w:ind w:left="0" w:leftChars="0" w:firstLine="0" w:firstLineChars="0"/>
              <w:rPr>
                <w:rFonts w:ascii="Times New Roman" w:hAnsi="Times New Roman"/>
                <w:b/>
                <w:bCs/>
                <w:color w:val="auto"/>
                <w:sz w:val="24"/>
              </w:rPr>
            </w:pPr>
            <w:r>
              <w:rPr>
                <w:rFonts w:ascii="Times New Roman" w:hAnsi="Times New Roman" w:eastAsia="宋体" w:cs="Times New Roman"/>
                <w:b/>
                <w:bCs/>
                <w:color w:val="auto"/>
                <w:kern w:val="2"/>
                <w:sz w:val="24"/>
                <w:szCs w:val="24"/>
                <w:lang w:val="en-US" w:eastAsia="zh-CN" w:bidi="ar-SA"/>
              </w:rPr>
              <w:t>8、</w:t>
            </w:r>
            <w:r>
              <w:rPr>
                <w:rFonts w:ascii="Times New Roman" w:hAnsi="Times New Roman"/>
                <w:b/>
                <w:bCs/>
                <w:color w:val="auto"/>
                <w:sz w:val="24"/>
              </w:rPr>
              <w:t>与</w:t>
            </w:r>
            <w:r>
              <w:rPr>
                <w:rFonts w:hint="eastAsia" w:ascii="Times New Roman" w:hAnsi="Times New Roman"/>
                <w:b/>
                <w:bCs/>
                <w:color w:val="auto"/>
                <w:sz w:val="24"/>
                <w:lang w:eastAsia="zh-CN"/>
              </w:rPr>
              <w:t>《</w:t>
            </w:r>
            <w:r>
              <w:rPr>
                <w:rFonts w:hint="eastAsia" w:ascii="Times New Roman" w:hAnsi="Times New Roman"/>
                <w:b/>
                <w:bCs/>
                <w:color w:val="auto"/>
                <w:sz w:val="24"/>
              </w:rPr>
              <w:t>玻璃工业大气污染物排放标准</w:t>
            </w:r>
            <w:r>
              <w:rPr>
                <w:rFonts w:hint="eastAsia" w:ascii="Times New Roman" w:hAnsi="Times New Roman"/>
                <w:b/>
                <w:bCs/>
                <w:color w:val="auto"/>
                <w:sz w:val="24"/>
                <w:lang w:eastAsia="zh-CN"/>
              </w:rPr>
              <w:t>》（GB 26453</w:t>
            </w:r>
            <w:r>
              <w:rPr>
                <w:rFonts w:hint="eastAsia" w:ascii="Times New Roman" w:hAnsi="Times New Roman"/>
                <w:b/>
                <w:bCs/>
                <w:color w:val="auto"/>
                <w:sz w:val="24"/>
                <w:lang w:val="en-US" w:eastAsia="zh-CN"/>
              </w:rPr>
              <w:t>-</w:t>
            </w:r>
            <w:r>
              <w:rPr>
                <w:rFonts w:hint="eastAsia" w:ascii="Times New Roman" w:hAnsi="Times New Roman"/>
                <w:b/>
                <w:bCs/>
                <w:color w:val="auto"/>
                <w:sz w:val="24"/>
                <w:lang w:eastAsia="zh-CN"/>
              </w:rPr>
              <w:t>2022）</w:t>
            </w:r>
            <w:r>
              <w:rPr>
                <w:rFonts w:ascii="Times New Roman" w:hAnsi="Times New Roman"/>
                <w:b/>
                <w:bCs/>
                <w:color w:val="auto"/>
                <w:sz w:val="24"/>
              </w:rPr>
              <w:t>的符合性分析</w:t>
            </w:r>
          </w:p>
          <w:p w14:paraId="1635E940">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pacing w:val="-2"/>
                <w:sz w:val="24"/>
                <w:szCs w:val="24"/>
                <w:lang w:val="en-US" w:eastAsia="zh-CN"/>
              </w:rPr>
            </w:pPr>
            <w:r>
              <w:rPr>
                <w:rFonts w:hint="eastAsia" w:ascii="Times New Roman" w:hAnsi="Times New Roman" w:cs="Times New Roman"/>
                <w:spacing w:val="-2"/>
                <w:sz w:val="24"/>
                <w:szCs w:val="24"/>
                <w:lang w:eastAsia="zh-CN"/>
              </w:rPr>
              <w:t>本项目与《</w:t>
            </w:r>
            <w:r>
              <w:rPr>
                <w:rFonts w:hint="eastAsia" w:ascii="Times New Roman" w:hAnsi="Times New Roman" w:cs="Times New Roman"/>
                <w:spacing w:val="-2"/>
                <w:sz w:val="24"/>
                <w:szCs w:val="24"/>
              </w:rPr>
              <w:t>玻璃工业大气污染物排放标准</w:t>
            </w:r>
            <w:r>
              <w:rPr>
                <w:rFonts w:hint="eastAsia" w:ascii="Times New Roman" w:hAnsi="Times New Roman" w:cs="Times New Roman"/>
                <w:spacing w:val="-2"/>
                <w:sz w:val="24"/>
                <w:szCs w:val="24"/>
                <w:lang w:eastAsia="zh-CN"/>
              </w:rPr>
              <w:t>》（GB 26453</w:t>
            </w:r>
            <w:r>
              <w:rPr>
                <w:rFonts w:hint="eastAsia" w:ascii="Times New Roman" w:hAnsi="Times New Roman" w:cs="Times New Roman"/>
                <w:spacing w:val="-2"/>
                <w:sz w:val="24"/>
                <w:szCs w:val="24"/>
                <w:lang w:val="en-US" w:eastAsia="zh-CN"/>
              </w:rPr>
              <w:t>-</w:t>
            </w:r>
            <w:r>
              <w:rPr>
                <w:rFonts w:hint="eastAsia" w:ascii="Times New Roman" w:hAnsi="Times New Roman" w:cs="Times New Roman"/>
                <w:spacing w:val="-2"/>
                <w:sz w:val="24"/>
                <w:szCs w:val="24"/>
                <w:lang w:eastAsia="zh-CN"/>
              </w:rPr>
              <w:t>2022）</w:t>
            </w:r>
            <w:r>
              <w:rPr>
                <w:rFonts w:hint="default" w:ascii="Times New Roman" w:hAnsi="Times New Roman" w:cs="Times New Roman"/>
                <w:spacing w:val="-2"/>
                <w:sz w:val="24"/>
                <w:szCs w:val="24"/>
              </w:rPr>
              <w:t>的符合性分析</w:t>
            </w:r>
            <w:r>
              <w:rPr>
                <w:rFonts w:hint="eastAsia" w:ascii="Times New Roman" w:hAnsi="Times New Roman" w:cs="Times New Roman"/>
                <w:spacing w:val="-2"/>
                <w:sz w:val="24"/>
                <w:szCs w:val="24"/>
                <w:lang w:eastAsia="zh-CN"/>
              </w:rPr>
              <w:t>见表</w:t>
            </w:r>
            <w:r>
              <w:rPr>
                <w:rFonts w:hint="eastAsia" w:ascii="Times New Roman" w:hAnsi="Times New Roman" w:cs="Times New Roman"/>
                <w:spacing w:val="-2"/>
                <w:sz w:val="24"/>
                <w:szCs w:val="24"/>
                <w:lang w:val="en-US" w:eastAsia="zh-CN"/>
              </w:rPr>
              <w:t>1-10。</w:t>
            </w:r>
          </w:p>
          <w:p w14:paraId="7CE339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w:t>
            </w:r>
            <w:r>
              <w:rPr>
                <w:rFonts w:hint="eastAsia" w:cs="Times New Roman"/>
                <w:b/>
                <w:bCs/>
                <w:color w:val="auto"/>
                <w:sz w:val="21"/>
                <w:szCs w:val="21"/>
                <w:lang w:val="en-US" w:eastAsia="zh-CN"/>
              </w:rPr>
              <w:t>10</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与玻璃工业大气污染物排放标准相符性分析一览表</w:t>
            </w:r>
          </w:p>
          <w:tbl>
            <w:tblPr>
              <w:tblStyle w:val="50"/>
              <w:tblW w:w="0" w:type="auto"/>
              <w:tblInd w:w="-11"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591"/>
              <w:gridCol w:w="3925"/>
              <w:gridCol w:w="2400"/>
              <w:gridCol w:w="1002"/>
            </w:tblGrid>
            <w:tr w14:paraId="5D1FE0A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591" w:type="dxa"/>
                  <w:tcBorders>
                    <w:tl2br w:val="nil"/>
                    <w:tr2bl w:val="nil"/>
                  </w:tcBorders>
                  <w:noWrap w:val="0"/>
                  <w:vAlign w:val="center"/>
                </w:tcPr>
                <w:p w14:paraId="23BFE0B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序号</w:t>
                  </w:r>
                </w:p>
              </w:tc>
              <w:tc>
                <w:tcPr>
                  <w:tcW w:w="3925" w:type="dxa"/>
                  <w:tcBorders>
                    <w:tl2br w:val="nil"/>
                    <w:tr2bl w:val="nil"/>
                  </w:tcBorders>
                  <w:noWrap w:val="0"/>
                  <w:vAlign w:val="center"/>
                </w:tcPr>
                <w:p w14:paraId="53C7EED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玻璃工业大气污染物排放标准内容（节选）</w:t>
                  </w:r>
                </w:p>
              </w:tc>
              <w:tc>
                <w:tcPr>
                  <w:tcW w:w="2400" w:type="dxa"/>
                  <w:tcBorders>
                    <w:tl2br w:val="nil"/>
                    <w:tr2bl w:val="nil"/>
                  </w:tcBorders>
                  <w:noWrap w:val="0"/>
                  <w:vAlign w:val="center"/>
                </w:tcPr>
                <w:p w14:paraId="0EE69B8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本项目情况</w:t>
                  </w:r>
                </w:p>
              </w:tc>
              <w:tc>
                <w:tcPr>
                  <w:tcW w:w="1002" w:type="dxa"/>
                  <w:tcBorders>
                    <w:tl2br w:val="nil"/>
                    <w:tr2bl w:val="nil"/>
                  </w:tcBorders>
                  <w:noWrap w:val="0"/>
                  <w:vAlign w:val="center"/>
                </w:tcPr>
                <w:p w14:paraId="459F5D8F">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符合性</w:t>
                  </w:r>
                </w:p>
              </w:tc>
            </w:tr>
            <w:tr w14:paraId="1FCFD37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1373" w:hRule="atLeast"/>
              </w:trPr>
              <w:tc>
                <w:tcPr>
                  <w:tcW w:w="591" w:type="dxa"/>
                  <w:tcBorders>
                    <w:tl2br w:val="nil"/>
                    <w:tr2bl w:val="nil"/>
                  </w:tcBorders>
                  <w:noWrap w:val="0"/>
                  <w:vAlign w:val="center"/>
                </w:tcPr>
                <w:p w14:paraId="6EBB5E2F">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1</w:t>
                  </w:r>
                </w:p>
              </w:tc>
              <w:tc>
                <w:tcPr>
                  <w:tcW w:w="3925" w:type="dxa"/>
                  <w:tcBorders>
                    <w:tl2br w:val="nil"/>
                    <w:tr2bl w:val="nil"/>
                  </w:tcBorders>
                  <w:noWrap w:val="0"/>
                  <w:vAlign w:val="center"/>
                </w:tcPr>
                <w:p w14:paraId="31CB4E6A">
                  <w:pPr>
                    <w:keepNext w:val="0"/>
                    <w:keepLines w:val="0"/>
                    <w:widowControl/>
                    <w:suppressLineNumbers w:val="0"/>
                    <w:jc w:val="left"/>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VOCs物料的储存、转移和输送无组织排放控制要求</w:t>
                  </w:r>
                  <w:r>
                    <w:rPr>
                      <w:rFonts w:hint="eastAsia" w:ascii="Times New Roman" w:hAnsi="Times New Roman" w:eastAsia="宋体" w:cs="Times New Roman"/>
                      <w:b w:val="0"/>
                      <w:bCs w:val="0"/>
                      <w:color w:val="auto"/>
                      <w:kern w:val="0"/>
                      <w:sz w:val="21"/>
                      <w:szCs w:val="21"/>
                      <w:lang w:val="en-US" w:eastAsia="zh-CN" w:bidi="ar"/>
                    </w:rPr>
                    <w:t>：5.3.1.1 涂料、胶粘剂、树脂、固化剂、稀释剂、清洗剂、浸润剂等VOCs物料应储存于密闭的容器、包装袋、储罐、储库、料仓中。</w:t>
                  </w:r>
                </w:p>
              </w:tc>
              <w:tc>
                <w:tcPr>
                  <w:tcW w:w="2400" w:type="dxa"/>
                  <w:tcBorders>
                    <w:tl2br w:val="nil"/>
                    <w:tr2bl w:val="nil"/>
                  </w:tcBorders>
                  <w:noWrap w:val="0"/>
                  <w:vAlign w:val="center"/>
                </w:tcPr>
                <w:p w14:paraId="5B193A6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本项目中空玻璃生产线用到硅酮胶、丁基胶涉VOCs物料均为密封桶装，位于仓库中</w:t>
                  </w:r>
                </w:p>
              </w:tc>
              <w:tc>
                <w:tcPr>
                  <w:tcW w:w="1002" w:type="dxa"/>
                  <w:tcBorders>
                    <w:tl2br w:val="nil"/>
                    <w:tr2bl w:val="nil"/>
                  </w:tcBorders>
                  <w:noWrap w:val="0"/>
                  <w:vAlign w:val="center"/>
                </w:tcPr>
                <w:p w14:paraId="7177500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符合</w:t>
                  </w:r>
                </w:p>
              </w:tc>
            </w:tr>
            <w:tr w14:paraId="4CBC4A5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193" w:hRule="atLeast"/>
              </w:trPr>
              <w:tc>
                <w:tcPr>
                  <w:tcW w:w="591" w:type="dxa"/>
                  <w:tcBorders>
                    <w:tl2br w:val="nil"/>
                    <w:tr2bl w:val="nil"/>
                  </w:tcBorders>
                  <w:noWrap w:val="0"/>
                  <w:vAlign w:val="center"/>
                </w:tcPr>
                <w:p w14:paraId="7D5052F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2</w:t>
                  </w:r>
                </w:p>
              </w:tc>
              <w:tc>
                <w:tcPr>
                  <w:tcW w:w="3925" w:type="dxa"/>
                  <w:tcBorders>
                    <w:tl2br w:val="nil"/>
                    <w:tr2bl w:val="nil"/>
                  </w:tcBorders>
                  <w:noWrap w:val="0"/>
                  <w:vAlign w:val="center"/>
                </w:tcPr>
                <w:p w14:paraId="7362172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5.3.2.1 涉VOCs物料工序（玻璃工业调胶、施胶工序，玻璃制品制造调漆、喷漆、烘干、烤花工序，制镜淋漆、烘干工序，玻璃纤维浸润剂配制、拉丝工序等）应采用密闭设备或在密闭空间内操作，废气应排至废气收集处理系统；无法密闭的，应采取局部气体收集措施，废气应排至废气收集处理系统。</w:t>
                  </w:r>
                </w:p>
                <w:p w14:paraId="50E8FAE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5.3.2.2 工艺过程产生的含VOCs废料（渣、液）应按照5.3.1条要求进行储存、转移和输送。盛装过VOCs物料的废包装容器应加盖密闭。</w:t>
                  </w:r>
                </w:p>
              </w:tc>
              <w:tc>
                <w:tcPr>
                  <w:tcW w:w="2400" w:type="dxa"/>
                  <w:tcBorders>
                    <w:tl2br w:val="nil"/>
                    <w:tr2bl w:val="nil"/>
                  </w:tcBorders>
                  <w:noWrap w:val="0"/>
                  <w:vAlign w:val="center"/>
                </w:tcPr>
                <w:p w14:paraId="607F455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eastAsia="宋体" w:cs="Times New Roman"/>
                      <w:b w:val="0"/>
                      <w:bCs w:val="0"/>
                      <w:color w:val="auto"/>
                      <w:kern w:val="0"/>
                      <w:sz w:val="21"/>
                      <w:szCs w:val="21"/>
                      <w:lang w:val="en-US" w:eastAsia="zh-CN" w:bidi="ar"/>
                    </w:rPr>
                    <w:t>中空玻璃生产线调胶、涂胶</w:t>
                  </w:r>
                  <w:r>
                    <w:rPr>
                      <w:rFonts w:hint="eastAsia" w:ascii="Times New Roman" w:hAnsi="Times New Roman" w:cs="Times New Roman"/>
                      <w:b w:val="0"/>
                      <w:bCs w:val="0"/>
                      <w:color w:val="auto"/>
                      <w:kern w:val="0"/>
                      <w:sz w:val="21"/>
                      <w:szCs w:val="21"/>
                      <w:lang w:val="en-US" w:eastAsia="zh-CN" w:bidi="ar"/>
                    </w:rPr>
                    <w:t>、封胶</w:t>
                  </w:r>
                  <w:r>
                    <w:rPr>
                      <w:rFonts w:hint="eastAsia" w:ascii="Times New Roman" w:hAnsi="Times New Roman" w:eastAsia="宋体" w:cs="Times New Roman"/>
                      <w:b w:val="0"/>
                      <w:bCs w:val="0"/>
                      <w:color w:val="auto"/>
                      <w:kern w:val="0"/>
                      <w:sz w:val="21"/>
                      <w:szCs w:val="21"/>
                      <w:lang w:val="en-US" w:eastAsia="zh-CN" w:bidi="ar"/>
                    </w:rPr>
                    <w:t>工序在车间内进行，工序上方设置集气罩，将废气收集，经过二级活性炭处理后，通过15米排气筒排放。</w:t>
                  </w:r>
                </w:p>
              </w:tc>
              <w:tc>
                <w:tcPr>
                  <w:tcW w:w="1002" w:type="dxa"/>
                  <w:tcBorders>
                    <w:tl2br w:val="nil"/>
                    <w:tr2bl w:val="nil"/>
                  </w:tcBorders>
                  <w:noWrap w:val="0"/>
                  <w:vAlign w:val="center"/>
                </w:tcPr>
                <w:p w14:paraId="7011CE0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符合</w:t>
                  </w:r>
                </w:p>
              </w:tc>
            </w:tr>
          </w:tbl>
          <w:p w14:paraId="3D215B1C">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综上所述，本项目符合</w:t>
            </w:r>
            <w:r>
              <w:rPr>
                <w:rFonts w:hint="eastAsia" w:ascii="Times New Roman" w:hAnsi="Times New Roman" w:cs="Times New Roman"/>
                <w:spacing w:val="-2"/>
                <w:sz w:val="24"/>
                <w:szCs w:val="24"/>
                <w:lang w:eastAsia="zh-CN"/>
              </w:rPr>
              <w:t>《</w:t>
            </w:r>
            <w:r>
              <w:rPr>
                <w:rFonts w:hint="eastAsia" w:ascii="Times New Roman" w:hAnsi="Times New Roman" w:cs="Times New Roman"/>
                <w:spacing w:val="-2"/>
                <w:sz w:val="24"/>
                <w:szCs w:val="24"/>
              </w:rPr>
              <w:t>玻璃工业大气污染物排放标准</w:t>
            </w:r>
            <w:r>
              <w:rPr>
                <w:rFonts w:hint="eastAsia" w:ascii="Times New Roman" w:hAnsi="Times New Roman" w:cs="Times New Roman"/>
                <w:spacing w:val="-2"/>
                <w:sz w:val="24"/>
                <w:szCs w:val="24"/>
                <w:lang w:eastAsia="zh-CN"/>
              </w:rPr>
              <w:t>》（GB 26453</w:t>
            </w:r>
            <w:r>
              <w:rPr>
                <w:rFonts w:hint="eastAsia" w:ascii="Times New Roman" w:hAnsi="Times New Roman" w:cs="Times New Roman"/>
                <w:spacing w:val="-2"/>
                <w:sz w:val="24"/>
                <w:szCs w:val="24"/>
                <w:lang w:val="en-US" w:eastAsia="zh-CN"/>
              </w:rPr>
              <w:t>-</w:t>
            </w:r>
            <w:r>
              <w:rPr>
                <w:rFonts w:hint="eastAsia" w:ascii="Times New Roman" w:hAnsi="Times New Roman" w:cs="Times New Roman"/>
                <w:spacing w:val="-2"/>
                <w:sz w:val="24"/>
                <w:szCs w:val="24"/>
                <w:lang w:eastAsia="zh-CN"/>
              </w:rPr>
              <w:t>2022）</w:t>
            </w:r>
            <w:r>
              <w:rPr>
                <w:rFonts w:hint="default" w:ascii="Times New Roman" w:hAnsi="Times New Roman" w:cs="Times New Roman"/>
                <w:spacing w:val="-5"/>
                <w:sz w:val="24"/>
                <w:szCs w:val="24"/>
              </w:rPr>
              <w:t>的相关要求。</w:t>
            </w:r>
          </w:p>
          <w:p w14:paraId="7DE7C91D">
            <w:pPr>
              <w:pStyle w:val="81"/>
              <w:numPr>
                <w:ilvl w:val="0"/>
                <w:numId w:val="0"/>
              </w:numPr>
              <w:spacing w:before="32" w:line="347" w:lineRule="auto"/>
              <w:ind w:left="0" w:leftChars="0" w:right="105" w:rightChars="0" w:firstLine="0" w:firstLineChars="0"/>
              <w:rPr>
                <w:rFonts w:hint="eastAsia" w:ascii="Times New Roman" w:hAnsi="Times New Roman" w:eastAsia="Times New Roman" w:cs="Times New Roman"/>
                <w:b/>
                <w:bCs/>
                <w:spacing w:val="-3"/>
                <w:sz w:val="24"/>
                <w:szCs w:val="24"/>
                <w:lang w:eastAsia="zh-CN"/>
              </w:rPr>
            </w:pPr>
            <w:r>
              <w:rPr>
                <w:rFonts w:hint="eastAsia" w:ascii="Times New Roman" w:hAnsi="Times New Roman" w:eastAsia="Times New Roman" w:cs="Times New Roman"/>
                <w:b/>
                <w:bCs/>
                <w:spacing w:val="-3"/>
                <w:kern w:val="2"/>
                <w:sz w:val="24"/>
                <w:szCs w:val="24"/>
                <w:lang w:val="en-US" w:eastAsia="zh-CN" w:bidi="ar-SA"/>
              </w:rPr>
              <w:t>9、</w:t>
            </w:r>
            <w:r>
              <w:rPr>
                <w:rFonts w:hint="eastAsia" w:ascii="Times New Roman" w:hAnsi="Times New Roman" w:eastAsia="Times New Roman" w:cs="Times New Roman"/>
                <w:b/>
                <w:bCs/>
                <w:spacing w:val="-3"/>
                <w:sz w:val="24"/>
                <w:szCs w:val="24"/>
                <w:lang w:eastAsia="zh-CN"/>
              </w:rPr>
              <w:t>与《胶粘剂挥发性有机化合物限量》（GB33372</w:t>
            </w:r>
            <w:r>
              <w:rPr>
                <w:rFonts w:hint="eastAsia" w:ascii="Times New Roman" w:hAnsi="Times New Roman" w:eastAsia="Times New Roman" w:cs="Times New Roman"/>
                <w:b/>
                <w:bCs/>
                <w:spacing w:val="-3"/>
                <w:sz w:val="24"/>
                <w:szCs w:val="24"/>
                <w:lang w:val="en-US" w:eastAsia="zh-CN"/>
              </w:rPr>
              <w:t>-2020</w:t>
            </w:r>
            <w:r>
              <w:rPr>
                <w:rFonts w:hint="eastAsia" w:ascii="Times New Roman" w:hAnsi="Times New Roman" w:eastAsia="Times New Roman" w:cs="Times New Roman"/>
                <w:b/>
                <w:bCs/>
                <w:spacing w:val="-3"/>
                <w:sz w:val="24"/>
                <w:szCs w:val="24"/>
                <w:lang w:eastAsia="zh-CN"/>
              </w:rPr>
              <w:t>）相符性分析</w:t>
            </w:r>
          </w:p>
          <w:p w14:paraId="5C583E40">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pacing w:val="-2"/>
                <w:sz w:val="24"/>
                <w:szCs w:val="24"/>
                <w:lang w:val="en-US" w:eastAsia="zh-CN"/>
              </w:rPr>
            </w:pPr>
            <w:r>
              <w:rPr>
                <w:rFonts w:hint="eastAsia" w:ascii="Times New Roman" w:hAnsi="Times New Roman" w:cs="Times New Roman"/>
                <w:spacing w:val="-2"/>
                <w:sz w:val="24"/>
                <w:szCs w:val="24"/>
                <w:lang w:eastAsia="zh-CN"/>
              </w:rPr>
              <w:t>本项目与《胶粘剂挥发性有机化合物限量》（GB33372</w:t>
            </w:r>
            <w:r>
              <w:rPr>
                <w:rFonts w:hint="eastAsia" w:ascii="Times New Roman" w:hAnsi="Times New Roman" w:cs="Times New Roman"/>
                <w:spacing w:val="-2"/>
                <w:sz w:val="24"/>
                <w:szCs w:val="24"/>
                <w:lang w:val="en-US" w:eastAsia="zh-CN"/>
              </w:rPr>
              <w:t>-2020</w:t>
            </w:r>
            <w:r>
              <w:rPr>
                <w:rFonts w:hint="eastAsia" w:ascii="Times New Roman" w:hAnsi="Times New Roman" w:cs="Times New Roman"/>
                <w:spacing w:val="-2"/>
                <w:sz w:val="24"/>
                <w:szCs w:val="24"/>
                <w:lang w:eastAsia="zh-CN"/>
              </w:rPr>
              <w:t>）相符性分析见表</w:t>
            </w:r>
            <w:r>
              <w:rPr>
                <w:rFonts w:hint="eastAsia" w:ascii="Times New Roman" w:hAnsi="Times New Roman" w:cs="Times New Roman"/>
                <w:spacing w:val="-2"/>
                <w:sz w:val="24"/>
                <w:szCs w:val="24"/>
                <w:lang w:val="en-US" w:eastAsia="zh-CN"/>
              </w:rPr>
              <w:t>1-11。</w:t>
            </w:r>
          </w:p>
          <w:p w14:paraId="0DEE33D5">
            <w:pPr>
              <w:pStyle w:val="81"/>
              <w:numPr>
                <w:ilvl w:val="0"/>
                <w:numId w:val="0"/>
              </w:numPr>
              <w:spacing w:before="32" w:line="347" w:lineRule="auto"/>
              <w:ind w:left="590" w:leftChars="0" w:right="105" w:rightChars="0"/>
              <w:rPr>
                <w:b/>
                <w:bCs/>
                <w:spacing w:val="6"/>
              </w:rPr>
            </w:pPr>
            <w:r>
              <w:rPr>
                <w:b/>
                <w:bCs/>
                <w:spacing w:val="6"/>
                <w:sz w:val="21"/>
                <w:szCs w:val="21"/>
              </w:rPr>
              <w:t>表</w:t>
            </w:r>
            <w:r>
              <w:rPr>
                <w:spacing w:val="-30"/>
                <w:sz w:val="21"/>
                <w:szCs w:val="21"/>
              </w:rPr>
              <w:t xml:space="preserve"> </w:t>
            </w:r>
            <w:r>
              <w:rPr>
                <w:rFonts w:ascii="Times New Roman" w:hAnsi="Times New Roman" w:eastAsia="Times New Roman" w:cs="Times New Roman"/>
                <w:b/>
                <w:bCs/>
                <w:spacing w:val="6"/>
                <w:sz w:val="21"/>
                <w:szCs w:val="21"/>
              </w:rPr>
              <w:t>1-1</w:t>
            </w:r>
            <w:r>
              <w:rPr>
                <w:rFonts w:hint="eastAsia" w:ascii="Times New Roman" w:hAnsi="Times New Roman" w:cs="Times New Roman"/>
                <w:b/>
                <w:bCs/>
                <w:spacing w:val="6"/>
                <w:sz w:val="21"/>
                <w:szCs w:val="21"/>
                <w:lang w:val="en-US" w:eastAsia="zh-CN"/>
              </w:rPr>
              <w:t>1</w:t>
            </w:r>
            <w:r>
              <w:rPr>
                <w:rFonts w:ascii="Times New Roman" w:hAnsi="Times New Roman" w:eastAsia="Times New Roman" w:cs="Times New Roman"/>
                <w:b/>
                <w:bCs/>
                <w:spacing w:val="6"/>
                <w:sz w:val="21"/>
                <w:szCs w:val="21"/>
              </w:rPr>
              <w:t xml:space="preserve">  </w:t>
            </w:r>
            <w:r>
              <w:rPr>
                <w:b/>
                <w:bCs/>
                <w:spacing w:val="6"/>
                <w:sz w:val="21"/>
                <w:szCs w:val="21"/>
              </w:rPr>
              <w:t>项目与</w:t>
            </w:r>
            <w:r>
              <w:rPr>
                <w:rFonts w:hint="eastAsia" w:ascii="Times New Roman" w:hAnsi="Times New Roman" w:eastAsia="Times New Roman" w:cs="Times New Roman"/>
                <w:b/>
                <w:bCs/>
                <w:spacing w:val="-3"/>
                <w:sz w:val="21"/>
                <w:szCs w:val="21"/>
                <w:lang w:eastAsia="zh-CN"/>
              </w:rPr>
              <w:t>《胶粘剂挥发性有机化合物限量》相符性分析</w:t>
            </w:r>
          </w:p>
          <w:tbl>
            <w:tblPr>
              <w:tblStyle w:val="50"/>
              <w:tblW w:w="0" w:type="auto"/>
              <w:tblInd w:w="-11"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997"/>
              <w:gridCol w:w="4531"/>
              <w:gridCol w:w="701"/>
            </w:tblGrid>
            <w:tr w14:paraId="6C421F7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689" w:type="dxa"/>
                  <w:tcBorders>
                    <w:tl2br w:val="nil"/>
                    <w:tr2bl w:val="nil"/>
                  </w:tcBorders>
                  <w:noWrap w:val="0"/>
                  <w:vAlign w:val="center"/>
                </w:tcPr>
                <w:p w14:paraId="659417A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1997" w:type="dxa"/>
                  <w:tcBorders>
                    <w:tl2br w:val="nil"/>
                    <w:tr2bl w:val="nil"/>
                  </w:tcBorders>
                  <w:noWrap w:val="0"/>
                  <w:vAlign w:val="center"/>
                </w:tcPr>
                <w:p w14:paraId="1425FEE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治理方案内容（节选）</w:t>
                  </w:r>
                </w:p>
              </w:tc>
              <w:tc>
                <w:tcPr>
                  <w:tcW w:w="4531" w:type="dxa"/>
                  <w:tcBorders>
                    <w:tl2br w:val="nil"/>
                    <w:tr2bl w:val="nil"/>
                  </w:tcBorders>
                  <w:noWrap w:val="0"/>
                  <w:vAlign w:val="center"/>
                </w:tcPr>
                <w:p w14:paraId="7EF0698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本项目情况</w:t>
                  </w:r>
                </w:p>
              </w:tc>
              <w:tc>
                <w:tcPr>
                  <w:tcW w:w="701" w:type="dxa"/>
                  <w:tcBorders>
                    <w:tl2br w:val="nil"/>
                    <w:tr2bl w:val="nil"/>
                  </w:tcBorders>
                  <w:noWrap w:val="0"/>
                  <w:vAlign w:val="center"/>
                </w:tcPr>
                <w:p w14:paraId="4B6A886F">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符合性</w:t>
                  </w:r>
                </w:p>
              </w:tc>
            </w:tr>
            <w:tr w14:paraId="5962AC1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cantSplit/>
                <w:trHeight w:val="1731" w:hRule="atLeast"/>
              </w:trPr>
              <w:tc>
                <w:tcPr>
                  <w:tcW w:w="689" w:type="dxa"/>
                  <w:tcBorders>
                    <w:tl2br w:val="nil"/>
                    <w:tr2bl w:val="nil"/>
                  </w:tcBorders>
                  <w:noWrap w:val="0"/>
                  <w:vAlign w:val="center"/>
                </w:tcPr>
                <w:p w14:paraId="2099B75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1997" w:type="dxa"/>
                  <w:tcBorders>
                    <w:tl2br w:val="nil"/>
                    <w:tr2bl w:val="nil"/>
                  </w:tcBorders>
                  <w:noWrap w:val="0"/>
                  <w:vAlign w:val="center"/>
                </w:tcPr>
                <w:p w14:paraId="28640423">
                  <w:pPr>
                    <w:keepNext w:val="0"/>
                    <w:keepLines w:val="0"/>
                    <w:widowControl/>
                    <w:suppressLineNumbers w:val="0"/>
                    <w:jc w:val="both"/>
                    <w:rPr>
                      <w:sz w:val="21"/>
                      <w:szCs w:val="21"/>
                    </w:rPr>
                  </w:pPr>
                  <w:r>
                    <w:rPr>
                      <w:rFonts w:hint="eastAsia" w:ascii="宋体" w:hAnsi="宋体" w:eastAsia="宋体" w:cs="宋体"/>
                      <w:color w:val="000000"/>
                      <w:kern w:val="0"/>
                      <w:sz w:val="21"/>
                      <w:szCs w:val="21"/>
                      <w:lang w:val="en-US" w:eastAsia="zh-CN" w:bidi="ar"/>
                    </w:rPr>
                    <w:t>本体型胶黏剂其他类</w:t>
                  </w:r>
                  <w:r>
                    <w:rPr>
                      <w:rFonts w:hint="default" w:ascii="Times New Roman" w:hAnsi="Times New Roman" w:eastAsia="宋体" w:cs="Times New Roman"/>
                      <w:color w:val="000000"/>
                      <w:kern w:val="0"/>
                      <w:sz w:val="21"/>
                      <w:szCs w:val="21"/>
                      <w:lang w:val="en-US" w:eastAsia="zh-CN" w:bidi="ar"/>
                    </w:rPr>
                    <w:t>VOCs</w:t>
                  </w:r>
                  <w:r>
                    <w:rPr>
                      <w:rFonts w:hint="eastAsia" w:ascii="宋体" w:hAnsi="宋体" w:eastAsia="宋体" w:cs="宋体"/>
                      <w:color w:val="000000"/>
                      <w:kern w:val="0"/>
                      <w:sz w:val="21"/>
                      <w:szCs w:val="21"/>
                      <w:lang w:val="en-US" w:eastAsia="zh-CN" w:bidi="ar"/>
                    </w:rPr>
                    <w:t>含限值</w:t>
                  </w:r>
                  <w:r>
                    <w:rPr>
                      <w:rFonts w:hint="default" w:ascii="Times New Roman" w:hAnsi="Times New Roman" w:eastAsia="宋体" w:cs="Times New Roman"/>
                      <w:color w:val="000000"/>
                      <w:kern w:val="0"/>
                      <w:sz w:val="21"/>
                      <w:szCs w:val="21"/>
                      <w:lang w:val="en-US" w:eastAsia="zh-CN" w:bidi="ar"/>
                    </w:rPr>
                    <w:t>≤50g/kg</w:t>
                  </w:r>
                  <w:r>
                    <w:rPr>
                      <w:rFonts w:hint="eastAsia" w:ascii="宋体" w:hAnsi="宋体" w:eastAsia="宋体" w:cs="宋体"/>
                      <w:color w:val="000000"/>
                      <w:kern w:val="0"/>
                      <w:sz w:val="21"/>
                      <w:szCs w:val="21"/>
                      <w:lang w:val="en-US" w:eastAsia="zh-CN" w:bidi="ar"/>
                    </w:rPr>
                    <w:t>。</w:t>
                  </w:r>
                </w:p>
                <w:p w14:paraId="1C885E7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color w:val="auto"/>
                      <w:kern w:val="2"/>
                      <w:sz w:val="21"/>
                      <w:szCs w:val="21"/>
                      <w:lang w:val="en-US" w:eastAsia="zh-CN" w:bidi="ar-SA"/>
                    </w:rPr>
                  </w:pPr>
                </w:p>
              </w:tc>
              <w:tc>
                <w:tcPr>
                  <w:tcW w:w="4531" w:type="dxa"/>
                  <w:tcBorders>
                    <w:tl2br w:val="nil"/>
                    <w:tr2bl w:val="nil"/>
                  </w:tcBorders>
                  <w:noWrap w:val="0"/>
                  <w:vAlign w:val="center"/>
                </w:tcPr>
                <w:p w14:paraId="643F52E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本项目中空玻璃生产线使用丁基胶作为第一道密封胶，硅酮胶作为第二道密封胶。根</w:t>
                  </w:r>
                  <w:r>
                    <w:rPr>
                      <w:rFonts w:hint="default" w:ascii="Times New Roman" w:hAnsi="Times New Roman" w:eastAsia="宋体" w:cs="Times New Roman"/>
                      <w:color w:val="auto"/>
                      <w:kern w:val="2"/>
                      <w:sz w:val="21"/>
                      <w:szCs w:val="21"/>
                      <w:highlight w:val="none"/>
                      <w:lang w:val="en-US" w:eastAsia="zh-CN" w:bidi="ar-SA"/>
                    </w:rPr>
                    <w:t>据附件</w:t>
                  </w:r>
                  <w:r>
                    <w:rPr>
                      <w:rFonts w:hint="eastAsia" w:ascii="Times New Roman" w:hAnsi="Times New Roman" w:cs="Times New Roman"/>
                      <w:color w:val="auto"/>
                      <w:kern w:val="2"/>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硅酮胶的检测报告，</w:t>
                  </w:r>
                  <w:r>
                    <w:rPr>
                      <w:rFonts w:hint="eastAsia" w:ascii="Times New Roman" w:hAnsi="Times New Roman" w:eastAsia="宋体" w:cs="Times New Roman"/>
                      <w:color w:val="auto"/>
                      <w:kern w:val="2"/>
                      <w:sz w:val="21"/>
                      <w:szCs w:val="21"/>
                      <w:highlight w:val="none"/>
                      <w:lang w:val="en-US" w:eastAsia="zh-CN" w:bidi="ar-SA"/>
                    </w:rPr>
                    <w:t>硅酮胶</w:t>
                  </w:r>
                  <w:r>
                    <w:rPr>
                      <w:rFonts w:hint="default" w:ascii="Times New Roman" w:hAnsi="Times New Roman" w:eastAsia="宋体" w:cs="Times New Roman"/>
                      <w:color w:val="auto"/>
                      <w:kern w:val="2"/>
                      <w:sz w:val="21"/>
                      <w:szCs w:val="21"/>
                      <w:highlight w:val="none"/>
                      <w:lang w:val="en-US" w:eastAsia="zh-CN" w:bidi="ar-SA"/>
                    </w:rPr>
                    <w:t>热失重</w:t>
                  </w:r>
                  <w:r>
                    <w:rPr>
                      <w:rFonts w:hint="eastAsia" w:ascii="Times New Roman" w:hAnsi="Times New Roman" w:eastAsia="宋体" w:cs="Times New Roman"/>
                      <w:color w:val="auto"/>
                      <w:kern w:val="2"/>
                      <w:sz w:val="21"/>
                      <w:szCs w:val="21"/>
                      <w:highlight w:val="none"/>
                      <w:lang w:val="en-US" w:eastAsia="zh-CN" w:bidi="ar-SA"/>
                    </w:rPr>
                    <w:t>为2.8%，以</w:t>
                  </w:r>
                  <w:r>
                    <w:rPr>
                      <w:rFonts w:hint="default" w:ascii="Times New Roman" w:hAnsi="Times New Roman" w:eastAsia="宋体" w:cs="Times New Roman"/>
                      <w:color w:val="auto"/>
                      <w:kern w:val="2"/>
                      <w:sz w:val="21"/>
                      <w:szCs w:val="21"/>
                      <w:highlight w:val="none"/>
                      <w:lang w:val="en-US" w:eastAsia="zh-CN" w:bidi="ar-SA"/>
                    </w:rPr>
                    <w:t>环境最不利角度考虑，以</w:t>
                  </w:r>
                  <w:r>
                    <w:rPr>
                      <w:rFonts w:hint="eastAsia" w:ascii="Times New Roman" w:hAnsi="Times New Roman" w:eastAsia="宋体" w:cs="Times New Roman"/>
                      <w:color w:val="auto"/>
                      <w:kern w:val="2"/>
                      <w:sz w:val="21"/>
                      <w:szCs w:val="21"/>
                      <w:highlight w:val="none"/>
                      <w:lang w:val="en-US" w:eastAsia="zh-CN" w:bidi="ar-SA"/>
                    </w:rPr>
                    <w:t>2.8</w:t>
                  </w:r>
                  <w:r>
                    <w:rPr>
                      <w:rFonts w:hint="default" w:ascii="Times New Roman" w:hAnsi="Times New Roman" w:eastAsia="宋体" w:cs="Times New Roman"/>
                      <w:color w:val="auto"/>
                      <w:kern w:val="2"/>
                      <w:sz w:val="21"/>
                      <w:szCs w:val="21"/>
                      <w:highlight w:val="none"/>
                      <w:lang w:val="en-US" w:eastAsia="zh-CN" w:bidi="ar-SA"/>
                    </w:rPr>
                    <w:t>%参与计算</w:t>
                  </w:r>
                  <w:r>
                    <w:rPr>
                      <w:rFonts w:hint="eastAsia" w:ascii="Times New Roman" w:hAnsi="Times New Roman" w:eastAsia="宋体" w:cs="Times New Roman"/>
                      <w:color w:val="auto"/>
                      <w:kern w:val="2"/>
                      <w:sz w:val="21"/>
                      <w:szCs w:val="21"/>
                      <w:lang w:val="en-US" w:eastAsia="zh-CN" w:bidi="ar-SA"/>
                    </w:rPr>
                    <w:t>，28</w:t>
                  </w:r>
                  <w:r>
                    <w:rPr>
                      <w:rFonts w:hint="default" w:ascii="Times New Roman" w:hAnsi="Times New Roman" w:eastAsia="宋体" w:cs="Times New Roman"/>
                      <w:color w:val="auto"/>
                      <w:kern w:val="2"/>
                      <w:sz w:val="21"/>
                      <w:szCs w:val="21"/>
                      <w:lang w:val="en-US" w:eastAsia="zh-CN" w:bidi="ar-SA"/>
                    </w:rPr>
                    <w:t>g/kg&lt;50g/kg</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丁基胶热失重</w:t>
                  </w:r>
                  <w:r>
                    <w:rPr>
                      <w:rFonts w:hint="eastAsia" w:ascii="Times New Roman" w:hAnsi="Times New Roman" w:eastAsia="宋体" w:cs="Times New Roman"/>
                      <w:color w:val="auto"/>
                      <w:kern w:val="2"/>
                      <w:sz w:val="21"/>
                      <w:szCs w:val="21"/>
                      <w:lang w:val="en-US" w:eastAsia="zh-CN" w:bidi="ar-SA"/>
                    </w:rPr>
                    <w:t>为0.65</w:t>
                  </w:r>
                  <w:r>
                    <w:rPr>
                      <w:rFonts w:hint="default" w:ascii="Times New Roman" w:hAnsi="Times New Roman" w:eastAsia="宋体" w:cs="Times New Roman"/>
                      <w:color w:val="auto"/>
                      <w:kern w:val="2"/>
                      <w:sz w:val="21"/>
                      <w:szCs w:val="21"/>
                      <w:lang w:val="en-US" w:eastAsia="zh-CN" w:bidi="ar-SA"/>
                    </w:rPr>
                    <w:t xml:space="preserve"> %，环评以环境最不利角度考虑，以</w:t>
                  </w:r>
                  <w:r>
                    <w:rPr>
                      <w:rFonts w:hint="eastAsia" w:ascii="Times New Roman" w:hAnsi="Times New Roman" w:eastAsia="宋体" w:cs="Times New Roman"/>
                      <w:color w:val="auto"/>
                      <w:kern w:val="2"/>
                      <w:sz w:val="21"/>
                      <w:szCs w:val="21"/>
                      <w:lang w:val="en-US" w:eastAsia="zh-CN" w:bidi="ar-SA"/>
                    </w:rPr>
                    <w:t>0.65</w:t>
                  </w:r>
                  <w:r>
                    <w:rPr>
                      <w:rFonts w:hint="default" w:ascii="Times New Roman" w:hAnsi="Times New Roman" w:eastAsia="宋体" w:cs="Times New Roman"/>
                      <w:color w:val="auto"/>
                      <w:kern w:val="2"/>
                      <w:sz w:val="21"/>
                      <w:szCs w:val="21"/>
                      <w:lang w:val="en-US" w:eastAsia="zh-CN" w:bidi="ar-SA"/>
                    </w:rPr>
                    <w:t>%参与计算</w:t>
                  </w:r>
                  <w:r>
                    <w:rPr>
                      <w:rFonts w:hint="eastAsia" w:ascii="Times New Roman" w:hAnsi="Times New Roman" w:eastAsia="宋体" w:cs="Times New Roman"/>
                      <w:color w:val="auto"/>
                      <w:kern w:val="2"/>
                      <w:sz w:val="21"/>
                      <w:szCs w:val="21"/>
                      <w:lang w:val="en-US" w:eastAsia="zh-CN" w:bidi="ar-SA"/>
                    </w:rPr>
                    <w:t>，6.5</w:t>
                  </w:r>
                  <w:r>
                    <w:rPr>
                      <w:rFonts w:hint="default" w:ascii="Times New Roman" w:hAnsi="Times New Roman" w:eastAsia="宋体" w:cs="Times New Roman"/>
                      <w:color w:val="auto"/>
                      <w:kern w:val="2"/>
                      <w:sz w:val="21"/>
                      <w:szCs w:val="21"/>
                      <w:lang w:val="en-US" w:eastAsia="zh-CN" w:bidi="ar-SA"/>
                    </w:rPr>
                    <w:t>g/kg&lt;50g/kg，所使用的胶粘剂符合要求。</w:t>
                  </w:r>
                </w:p>
              </w:tc>
              <w:tc>
                <w:tcPr>
                  <w:tcW w:w="701" w:type="dxa"/>
                  <w:tcBorders>
                    <w:tl2br w:val="nil"/>
                    <w:tr2bl w:val="nil"/>
                  </w:tcBorders>
                  <w:noWrap w:val="0"/>
                  <w:vAlign w:val="center"/>
                </w:tcPr>
                <w:p w14:paraId="58A4FD1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7A2A5A1F">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pacing w:val="-2"/>
                <w:sz w:val="24"/>
                <w:szCs w:val="24"/>
                <w:lang w:val="en-US" w:eastAsia="zh-CN"/>
              </w:rPr>
            </w:pPr>
            <w:r>
              <w:rPr>
                <w:rFonts w:hint="eastAsia" w:ascii="Times New Roman" w:hAnsi="Times New Roman" w:cs="Times New Roman"/>
                <w:spacing w:val="-2"/>
                <w:sz w:val="24"/>
                <w:szCs w:val="24"/>
                <w:lang w:val="en-US" w:eastAsia="zh-CN"/>
              </w:rPr>
              <w:t>综上所述，</w:t>
            </w:r>
            <w:r>
              <w:rPr>
                <w:rFonts w:hint="default" w:ascii="Times New Roman" w:hAnsi="Times New Roman" w:cs="Times New Roman"/>
                <w:spacing w:val="-2"/>
                <w:sz w:val="24"/>
                <w:szCs w:val="24"/>
                <w:lang w:val="en-US" w:eastAsia="zh-CN"/>
              </w:rPr>
              <w:t>本项目满足《胶粘剂挥发性有机化合物限量》（GB33372-2020）的相关要求。</w:t>
            </w:r>
          </w:p>
          <w:p w14:paraId="5976517C">
            <w:pPr>
              <w:pStyle w:val="8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105" w:rightChars="0" w:firstLine="0" w:firstLineChars="0"/>
              <w:textAlignment w:val="auto"/>
              <w:rPr>
                <w:rFonts w:hint="default" w:ascii="Times New Roman" w:hAnsi="Times New Roman" w:cs="Times New Roman"/>
                <w:b/>
                <w:bCs/>
                <w:spacing w:val="-4"/>
                <w:sz w:val="24"/>
                <w:szCs w:val="24"/>
              </w:rPr>
            </w:pPr>
            <w:r>
              <w:rPr>
                <w:rFonts w:hint="default" w:ascii="Times New Roman" w:hAnsi="Times New Roman" w:eastAsia="宋体" w:cs="Times New Roman"/>
                <w:b/>
                <w:bCs/>
                <w:spacing w:val="-4"/>
                <w:kern w:val="2"/>
                <w:sz w:val="24"/>
                <w:szCs w:val="24"/>
                <w:lang w:val="en-US" w:eastAsia="en-US" w:bidi="ar-SA"/>
              </w:rPr>
              <w:t>10、</w:t>
            </w:r>
            <w:r>
              <w:rPr>
                <w:rFonts w:hint="default" w:ascii="Times New Roman" w:hAnsi="Times New Roman" w:cs="Times New Roman"/>
                <w:b/>
                <w:bCs/>
                <w:spacing w:val="-4"/>
                <w:sz w:val="24"/>
                <w:szCs w:val="24"/>
              </w:rPr>
              <w:t>本项目与《关于加快解决当前挥发性有机物治理突出问题</w:t>
            </w:r>
            <w:r>
              <w:rPr>
                <w:rFonts w:hint="default" w:ascii="Times New Roman" w:hAnsi="Times New Roman" w:cs="Times New Roman"/>
                <w:b/>
                <w:bCs/>
                <w:spacing w:val="-3"/>
                <w:sz w:val="24"/>
                <w:szCs w:val="24"/>
              </w:rPr>
              <w:t>的通知》</w:t>
            </w:r>
            <w:r>
              <w:rPr>
                <w:rFonts w:hint="default" w:ascii="Times New Roman" w:hAnsi="Times New Roman" w:cs="Times New Roman"/>
                <w:spacing w:val="-3"/>
                <w:sz w:val="24"/>
                <w:szCs w:val="24"/>
              </w:rPr>
              <w:t xml:space="preserve"> </w:t>
            </w:r>
            <w:r>
              <w:rPr>
                <w:rFonts w:hint="default" w:ascii="Times New Roman" w:hAnsi="Times New Roman" w:cs="Times New Roman"/>
                <w:b/>
                <w:bCs/>
                <w:spacing w:val="-3"/>
                <w:sz w:val="24"/>
                <w:szCs w:val="24"/>
              </w:rPr>
              <w:t>（环大气</w:t>
            </w:r>
            <w:r>
              <w:rPr>
                <w:rFonts w:hint="default" w:ascii="Times New Roman" w:hAnsi="Times New Roman" w:cs="Times New Roman"/>
                <w:b/>
                <w:bCs/>
                <w:spacing w:val="-3"/>
                <w:sz w:val="24"/>
                <w:szCs w:val="24"/>
                <w:lang w:val="en-US" w:eastAsia="zh-CN"/>
              </w:rPr>
              <w:t>[</w:t>
            </w:r>
            <w:r>
              <w:rPr>
                <w:rFonts w:hint="default" w:ascii="Times New Roman" w:hAnsi="Times New Roman" w:eastAsia="Times New Roman" w:cs="Times New Roman"/>
                <w:b/>
                <w:bCs/>
                <w:spacing w:val="-3"/>
                <w:sz w:val="24"/>
                <w:szCs w:val="24"/>
              </w:rPr>
              <w:t>2021</w:t>
            </w:r>
            <w:r>
              <w:rPr>
                <w:rFonts w:hint="default" w:ascii="Times New Roman" w:hAnsi="Times New Roman" w:cs="Times New Roman"/>
                <w:b/>
                <w:bCs/>
                <w:spacing w:val="-3"/>
                <w:sz w:val="24"/>
                <w:szCs w:val="24"/>
                <w:lang w:val="en-US" w:eastAsia="zh-CN"/>
              </w:rPr>
              <w:t>]</w:t>
            </w:r>
            <w:r>
              <w:rPr>
                <w:rFonts w:hint="default" w:ascii="Times New Roman" w:hAnsi="Times New Roman" w:eastAsia="Times New Roman" w:cs="Times New Roman"/>
                <w:b/>
                <w:bCs/>
                <w:spacing w:val="-3"/>
                <w:sz w:val="24"/>
                <w:szCs w:val="24"/>
              </w:rPr>
              <w:t>65</w:t>
            </w:r>
            <w:r>
              <w:rPr>
                <w:rFonts w:hint="default" w:ascii="Times New Roman" w:hAnsi="Times New Roman" w:cs="Times New Roman"/>
                <w:b/>
                <w:bCs/>
                <w:spacing w:val="-3"/>
                <w:sz w:val="24"/>
                <w:szCs w:val="24"/>
              </w:rPr>
              <w:t>号）相符性</w:t>
            </w:r>
            <w:r>
              <w:rPr>
                <w:rFonts w:hint="default" w:ascii="Times New Roman" w:hAnsi="Times New Roman" w:cs="Times New Roman"/>
                <w:b/>
                <w:bCs/>
                <w:spacing w:val="-4"/>
                <w:sz w:val="24"/>
                <w:szCs w:val="24"/>
              </w:rPr>
              <w:t>分析</w:t>
            </w:r>
          </w:p>
          <w:p w14:paraId="4A2B35AA">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pacing w:val="-2"/>
                <w:sz w:val="24"/>
                <w:szCs w:val="24"/>
                <w:lang w:val="en-US" w:eastAsia="zh-CN"/>
              </w:rPr>
            </w:pPr>
            <w:r>
              <w:rPr>
                <w:rFonts w:hint="eastAsia" w:ascii="Times New Roman" w:hAnsi="Times New Roman" w:cs="Times New Roman"/>
                <w:spacing w:val="-2"/>
                <w:sz w:val="24"/>
                <w:szCs w:val="24"/>
                <w:lang w:val="en-US" w:eastAsia="zh-CN"/>
              </w:rPr>
              <w:t>本项目与《关于加快解决当前挥发性有机物治理突出问题的通知》 （环大气[2021]65号）相符性分析见表1-12。</w:t>
            </w:r>
          </w:p>
          <w:p w14:paraId="7E64EC85">
            <w:pPr>
              <w:pStyle w:val="8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153"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spacing w:val="6"/>
                <w:sz w:val="21"/>
                <w:szCs w:val="21"/>
              </w:rPr>
              <w:t>表</w:t>
            </w:r>
            <w:r>
              <w:rPr>
                <w:rFonts w:hint="default" w:ascii="Times New Roman" w:hAnsi="Times New Roman" w:eastAsia="宋体" w:cs="Times New Roman"/>
                <w:b/>
                <w:bCs/>
                <w:spacing w:val="-30"/>
                <w:sz w:val="21"/>
                <w:szCs w:val="21"/>
              </w:rPr>
              <w:t xml:space="preserve"> </w:t>
            </w:r>
            <w:r>
              <w:rPr>
                <w:rFonts w:hint="default" w:ascii="Times New Roman" w:hAnsi="Times New Roman" w:eastAsia="宋体" w:cs="Times New Roman"/>
                <w:b/>
                <w:bCs/>
                <w:spacing w:val="6"/>
                <w:sz w:val="21"/>
                <w:szCs w:val="21"/>
              </w:rPr>
              <w:t>1-12与《关于加快解决当前挥发性有机物治理突出问题的通知》相符</w:t>
            </w:r>
            <w:r>
              <w:rPr>
                <w:rFonts w:hint="default" w:ascii="Times New Roman" w:hAnsi="Times New Roman" w:eastAsia="宋体" w:cs="Times New Roman"/>
                <w:b/>
                <w:bCs/>
                <w:sz w:val="21"/>
                <w:szCs w:val="21"/>
                <w:lang w:eastAsia="zh-CN"/>
              </w:rPr>
              <w:t>性分析</w:t>
            </w:r>
          </w:p>
          <w:tbl>
            <w:tblPr>
              <w:tblStyle w:val="50"/>
              <w:tblW w:w="0" w:type="auto"/>
              <w:tblInd w:w="-11"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689"/>
              <w:gridCol w:w="4492"/>
              <w:gridCol w:w="1961"/>
              <w:gridCol w:w="776"/>
            </w:tblGrid>
            <w:tr w14:paraId="0C3416C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689" w:type="dxa"/>
                  <w:tcBorders>
                    <w:tl2br w:val="nil"/>
                    <w:tr2bl w:val="nil"/>
                  </w:tcBorders>
                  <w:noWrap w:val="0"/>
                  <w:vAlign w:val="center"/>
                </w:tcPr>
                <w:p w14:paraId="0ADD45D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4492" w:type="dxa"/>
                  <w:tcBorders>
                    <w:tl2br w:val="nil"/>
                    <w:tr2bl w:val="nil"/>
                  </w:tcBorders>
                  <w:noWrap w:val="0"/>
                  <w:vAlign w:val="center"/>
                </w:tcPr>
                <w:p w14:paraId="479E65F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治理方案内容（节选）</w:t>
                  </w:r>
                </w:p>
              </w:tc>
              <w:tc>
                <w:tcPr>
                  <w:tcW w:w="1961" w:type="dxa"/>
                  <w:tcBorders>
                    <w:tl2br w:val="nil"/>
                    <w:tr2bl w:val="nil"/>
                  </w:tcBorders>
                  <w:noWrap w:val="0"/>
                  <w:vAlign w:val="center"/>
                </w:tcPr>
                <w:p w14:paraId="5DA2DCD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本项目情况</w:t>
                  </w:r>
                </w:p>
              </w:tc>
              <w:tc>
                <w:tcPr>
                  <w:tcW w:w="776" w:type="dxa"/>
                  <w:tcBorders>
                    <w:tl2br w:val="nil"/>
                    <w:tr2bl w:val="nil"/>
                  </w:tcBorders>
                  <w:noWrap w:val="0"/>
                  <w:vAlign w:val="center"/>
                </w:tcPr>
                <w:p w14:paraId="5272EC9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符合性</w:t>
                  </w:r>
                </w:p>
              </w:tc>
            </w:tr>
            <w:tr w14:paraId="2374D50E">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565" w:hRule="atLeast"/>
              </w:trPr>
              <w:tc>
                <w:tcPr>
                  <w:tcW w:w="689" w:type="dxa"/>
                  <w:tcBorders>
                    <w:tl2br w:val="nil"/>
                    <w:tr2bl w:val="nil"/>
                  </w:tcBorders>
                  <w:noWrap w:val="0"/>
                  <w:vAlign w:val="center"/>
                </w:tcPr>
                <w:p w14:paraId="5C049AC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37433FC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3C3E3B7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92F0C5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A9587C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95F7A0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D34E46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CBFCAE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C482DA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31F84C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4492" w:type="dxa"/>
                  <w:tcBorders>
                    <w:tl2br w:val="nil"/>
                    <w:tr2bl w:val="nil"/>
                  </w:tcBorders>
                  <w:noWrap w:val="0"/>
                  <w:vAlign w:val="center"/>
                </w:tcPr>
                <w:p w14:paraId="2D63CE8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产生VOCs的生产环节优先采用密闭设备、在密闭空间中操作或采用全密闭集气罩收集方式，并保持负压运行。无尘等级要求车间需设置成正压的，宜建设内层正压、外层微负压的双层整体密闭收集空间。对采用局部收集方式的企业， 距废气收集系统排风罩开口面最远处的VOCs无组织排放位置控制风速不低于0.3m/s；推广以生产线或设备为单位设置隔间，收集风量应确保隔间保持微负压。当废气产生点较多、彼此距离较远时，在满足设计规范、风压平衡的基础上，适当分设多套收集系统或中继风机。废气收集系统的输送管道应</w:t>
                  </w:r>
                  <w:r>
                    <w:rPr>
                      <w:spacing w:val="6"/>
                    </w:rPr>
                    <w:t>密闭、无破损。</w:t>
                  </w:r>
                </w:p>
              </w:tc>
              <w:tc>
                <w:tcPr>
                  <w:tcW w:w="1961" w:type="dxa"/>
                  <w:tcBorders>
                    <w:tl2br w:val="nil"/>
                    <w:tr2bl w:val="nil"/>
                  </w:tcBorders>
                  <w:noWrap w:val="0"/>
                  <w:vAlign w:val="center"/>
                </w:tcPr>
                <w:p w14:paraId="32BAAA6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本项目在调胶、涂胶、封胶过程中产生的有机废气，通过设置集气罩收集，经二级活性炭吸附装置吸附处理后由15m高排气筒排放，通过以上措施，废气可实现达标排放。</w:t>
                  </w:r>
                </w:p>
              </w:tc>
              <w:tc>
                <w:tcPr>
                  <w:tcW w:w="776" w:type="dxa"/>
                  <w:tcBorders>
                    <w:tl2br w:val="nil"/>
                    <w:tr2bl w:val="nil"/>
                  </w:tcBorders>
                  <w:noWrap w:val="0"/>
                  <w:vAlign w:val="center"/>
                </w:tcPr>
                <w:p w14:paraId="2879A8F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6B87818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689" w:type="dxa"/>
                  <w:tcBorders>
                    <w:tl2br w:val="nil"/>
                    <w:tr2bl w:val="nil"/>
                  </w:tcBorders>
                  <w:noWrap w:val="0"/>
                  <w:vAlign w:val="center"/>
                </w:tcPr>
                <w:p w14:paraId="455421F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DB8D05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355302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13F48F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366018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218382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4492" w:type="dxa"/>
                  <w:tcBorders>
                    <w:tl2br w:val="nil"/>
                    <w:tr2bl w:val="nil"/>
                  </w:tcBorders>
                  <w:noWrap w:val="0"/>
                  <w:vAlign w:val="center"/>
                </w:tcPr>
                <w:p w14:paraId="52FF21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新建治理设施或对现有治理设施实施改造，应依据排放废气特征、VOCs组分及浓度、生产工况等，合理选择治理技术；对治理难度大、单一治理工艺难以稳定达标的，宜采用多种技术的组合工艺；除恶臭异味治理外，一般不使用低温等离子、光催化、光氧化等技术。</w:t>
                  </w:r>
                </w:p>
              </w:tc>
              <w:tc>
                <w:tcPr>
                  <w:tcW w:w="1961" w:type="dxa"/>
                  <w:tcBorders>
                    <w:tl2br w:val="nil"/>
                    <w:tr2bl w:val="nil"/>
                  </w:tcBorders>
                  <w:noWrap w:val="0"/>
                  <w:vAlign w:val="center"/>
                </w:tcPr>
                <w:p w14:paraId="7A807D4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本项目采用二级活性炭进行废气治理，属于可行技术。</w:t>
                  </w:r>
                </w:p>
              </w:tc>
              <w:tc>
                <w:tcPr>
                  <w:tcW w:w="776" w:type="dxa"/>
                  <w:tcBorders>
                    <w:tl2br w:val="nil"/>
                    <w:tr2bl w:val="nil"/>
                  </w:tcBorders>
                  <w:noWrap w:val="0"/>
                  <w:vAlign w:val="center"/>
                </w:tcPr>
                <w:p w14:paraId="06F6475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2943F63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689" w:type="dxa"/>
                  <w:tcBorders>
                    <w:tl2br w:val="nil"/>
                    <w:tr2bl w:val="nil"/>
                  </w:tcBorders>
                  <w:noWrap w:val="0"/>
                  <w:vAlign w:val="center"/>
                </w:tcPr>
                <w:p w14:paraId="04779DD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038D7CB6">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4492" w:type="dxa"/>
                  <w:tcBorders>
                    <w:tl2br w:val="nil"/>
                    <w:tr2bl w:val="nil"/>
                  </w:tcBorders>
                  <w:noWrap w:val="0"/>
                  <w:vAlign w:val="center"/>
                </w:tcPr>
                <w:p w14:paraId="0332D55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采用活性炭吸附工艺的企业，应根 据废气排放特征，按照相关工程技 术规范设计净化工艺和设备，使废 气在吸附装置中有足够的停留时间，选择符合相关产品质量标准的活性炭，并足额充填、及时更换。采用颗粒活性炭作为吸附剂时，其碘值不宜低于800mg/g；采用蜂窝活性炭作为吸附剂时，其碘值不宜低于650mg/g；采用活性炭纤维作为吸附剂时，其比表面积不低于1100m</w:t>
                  </w:r>
                  <w:r>
                    <w:rPr>
                      <w:rFonts w:hint="default" w:ascii="Times New Roman" w:hAnsi="Times New Roman" w:eastAsia="宋体" w:cs="Times New Roman"/>
                      <w:color w:val="auto"/>
                      <w:kern w:val="2"/>
                      <w:sz w:val="21"/>
                      <w:szCs w:val="21"/>
                      <w:vertAlign w:val="superscript"/>
                      <w:lang w:val="en-US" w:eastAsia="zh-CN" w:bidi="ar-SA"/>
                    </w:rPr>
                    <w:t>2</w:t>
                  </w:r>
                  <w:r>
                    <w:rPr>
                      <w:rFonts w:hint="default" w:ascii="Times New Roman" w:hAnsi="Times New Roman" w:eastAsia="宋体" w:cs="Times New Roman"/>
                      <w:color w:val="auto"/>
                      <w:kern w:val="2"/>
                      <w:sz w:val="21"/>
                      <w:szCs w:val="21"/>
                      <w:lang w:val="en-US" w:eastAsia="zh-CN" w:bidi="ar-SA"/>
                    </w:rPr>
                    <w:t>/g（BET法）。一次性活性炭吸附工艺宜采用颗粒活性炭作为吸附剂。活性炭、活性炭纤维产品销售时应提供产品质量证明材料。</w:t>
                  </w:r>
                </w:p>
              </w:tc>
              <w:tc>
                <w:tcPr>
                  <w:tcW w:w="1961" w:type="dxa"/>
                  <w:tcBorders>
                    <w:tl2br w:val="nil"/>
                    <w:tr2bl w:val="nil"/>
                  </w:tcBorders>
                  <w:noWrap w:val="0"/>
                  <w:vAlign w:val="center"/>
                </w:tcPr>
                <w:p w14:paraId="1994540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w:t>
                  </w:r>
                  <w:r>
                    <w:rPr>
                      <w:rFonts w:hint="eastAsia" w:ascii="Times New Roman" w:hAnsi="Times New Roman" w:eastAsia="宋体" w:cs="Times New Roman"/>
                      <w:color w:val="auto"/>
                      <w:kern w:val="2"/>
                      <w:sz w:val="21"/>
                      <w:szCs w:val="21"/>
                      <w:lang w:val="en-US" w:eastAsia="zh-CN" w:bidi="ar-SA"/>
                    </w:rPr>
                    <w:t>调胶、涂胶、封胶</w:t>
                  </w:r>
                  <w:r>
                    <w:rPr>
                      <w:rFonts w:hint="default" w:ascii="Times New Roman" w:hAnsi="Times New Roman" w:eastAsia="宋体" w:cs="Times New Roman"/>
                      <w:color w:val="auto"/>
                      <w:kern w:val="2"/>
                      <w:sz w:val="21"/>
                      <w:szCs w:val="21"/>
                      <w:lang w:val="en-US" w:eastAsia="zh-CN" w:bidi="ar-SA"/>
                    </w:rPr>
                    <w:t>废气采用二级活性炭吸附处理，经过处理后可以稳定达标排放，采用碘值不低于800mg/g颗粒活性炭，废活性炭委托有资质单位处理，及时清运。</w:t>
                  </w:r>
                </w:p>
              </w:tc>
              <w:tc>
                <w:tcPr>
                  <w:tcW w:w="776" w:type="dxa"/>
                  <w:tcBorders>
                    <w:tl2br w:val="nil"/>
                    <w:tr2bl w:val="nil"/>
                  </w:tcBorders>
                  <w:noWrap w:val="0"/>
                  <w:vAlign w:val="center"/>
                </w:tcPr>
                <w:p w14:paraId="6E8AEF2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2699830A">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default" w:ascii="Times New Roman" w:hAnsi="Times New Roman" w:cs="Times New Roman"/>
                <w:spacing w:val="-2"/>
                <w:sz w:val="24"/>
                <w:szCs w:val="24"/>
                <w:lang w:val="en-US" w:eastAsia="zh-CN"/>
              </w:rPr>
            </w:pPr>
            <w:r>
              <w:rPr>
                <w:rFonts w:hint="eastAsia" w:ascii="Times New Roman" w:hAnsi="Times New Roman" w:cs="Times New Roman"/>
                <w:spacing w:val="-2"/>
                <w:sz w:val="24"/>
                <w:szCs w:val="24"/>
                <w:lang w:val="en-US" w:eastAsia="zh-CN"/>
              </w:rPr>
              <w:t>综上所述，本项目满足</w:t>
            </w:r>
            <w:r>
              <w:rPr>
                <w:rFonts w:hint="default" w:ascii="Times New Roman" w:hAnsi="Times New Roman" w:cs="Times New Roman"/>
                <w:spacing w:val="-2"/>
                <w:sz w:val="24"/>
                <w:szCs w:val="24"/>
                <w:lang w:val="en-US" w:eastAsia="zh-CN"/>
              </w:rPr>
              <w:t>《关于加快解决当前挥发性有机物治理突出问题的通知》 （环大气[2021]65号）的相关要求。</w:t>
            </w:r>
          </w:p>
          <w:p w14:paraId="2E9F6060">
            <w:pPr>
              <w:pStyle w:val="81"/>
              <w:spacing w:before="16" w:line="347" w:lineRule="auto"/>
              <w:ind w:right="153"/>
              <w:rPr>
                <w:rFonts w:hint="default" w:ascii="Times New Roman" w:hAnsi="Times New Roman" w:cs="Times New Roman"/>
                <w:sz w:val="24"/>
                <w:szCs w:val="24"/>
              </w:rPr>
            </w:pPr>
            <w:r>
              <w:rPr>
                <w:rFonts w:hint="default" w:ascii="Times New Roman" w:hAnsi="Times New Roman" w:cs="Times New Roman"/>
                <w:b/>
                <w:bCs/>
                <w:spacing w:val="-3"/>
                <w:sz w:val="24"/>
                <w:szCs w:val="24"/>
                <w:lang w:val="en-US" w:eastAsia="zh-CN"/>
              </w:rPr>
              <w:t>11、</w:t>
            </w:r>
            <w:r>
              <w:rPr>
                <w:rFonts w:hint="default" w:ascii="Times New Roman" w:hAnsi="Times New Roman" w:cs="Times New Roman"/>
                <w:b/>
                <w:bCs/>
                <w:spacing w:val="-3"/>
                <w:sz w:val="24"/>
                <w:szCs w:val="24"/>
              </w:rPr>
              <w:t>本项目与生态环境保护规划</w:t>
            </w:r>
            <w:r>
              <w:rPr>
                <w:rFonts w:hint="default" w:ascii="Times New Roman" w:hAnsi="Times New Roman" w:cs="Times New Roman"/>
                <w:b/>
                <w:bCs/>
                <w:spacing w:val="-2"/>
                <w:sz w:val="24"/>
                <w:szCs w:val="24"/>
              </w:rPr>
              <w:t>相符性分析</w:t>
            </w:r>
          </w:p>
          <w:p w14:paraId="5C35AC8B">
            <w:pPr>
              <w:pStyle w:val="81"/>
              <w:keepNext w:val="0"/>
              <w:keepLines w:val="0"/>
              <w:pageBreakBefore w:val="0"/>
              <w:widowControl w:val="0"/>
              <w:kinsoku/>
              <w:wordWrap/>
              <w:overflowPunct/>
              <w:topLinePunct w:val="0"/>
              <w:autoSpaceDE/>
              <w:autoSpaceDN/>
              <w:bidi w:val="0"/>
              <w:adjustRightInd w:val="0"/>
              <w:snapToGrid w:val="0"/>
              <w:spacing w:line="360" w:lineRule="auto"/>
              <w:ind w:left="0" w:firstLine="472" w:firstLineChars="200"/>
              <w:textAlignment w:val="auto"/>
              <w:rPr>
                <w:rFonts w:hint="eastAsia" w:ascii="Times New Roman" w:hAnsi="Times New Roman" w:cs="Times New Roman"/>
                <w:spacing w:val="-2"/>
                <w:sz w:val="24"/>
                <w:szCs w:val="24"/>
                <w:lang w:val="en-US" w:eastAsia="zh-CN"/>
              </w:rPr>
            </w:pPr>
            <w:r>
              <w:rPr>
                <w:rFonts w:hint="default" w:ascii="Times New Roman" w:hAnsi="Times New Roman" w:cs="Times New Roman"/>
                <w:spacing w:val="-2"/>
                <w:sz w:val="24"/>
                <w:szCs w:val="24"/>
                <w:lang w:val="en-US" w:eastAsia="zh-CN"/>
              </w:rPr>
              <w:t>通过对照《辽宁省人民政府办公厅关于印发辽宁省“十四五”生态环境保护规划的通知》（辽政办发[2022]16号）、《铁岭市十四五”生态环境保护规划》（铁政办发[2022]15号），本</w:t>
            </w:r>
            <w:r>
              <w:rPr>
                <w:rFonts w:hint="eastAsia" w:ascii="Times New Roman" w:hAnsi="Times New Roman" w:cs="Times New Roman"/>
                <w:spacing w:val="-2"/>
                <w:sz w:val="24"/>
                <w:szCs w:val="24"/>
                <w:lang w:val="en-US" w:eastAsia="zh-CN"/>
              </w:rPr>
              <w:t>项目符合“十四五”生态环境保护规划要求，具体见下表。</w:t>
            </w:r>
          </w:p>
          <w:p w14:paraId="7B02D877">
            <w:pPr>
              <w:pStyle w:val="53"/>
              <w:ind w:firstLine="0" w:firstLineChars="0"/>
              <w:jc w:val="center"/>
              <w:rPr>
                <w:rFonts w:hint="default"/>
                <w:color w:val="000000"/>
                <w:highlight w:val="none"/>
              </w:rPr>
            </w:pPr>
            <w:r>
              <w:rPr>
                <w:b/>
                <w:bCs/>
                <w:color w:val="000000"/>
                <w:sz w:val="21"/>
                <w:szCs w:val="21"/>
                <w:highlight w:val="none"/>
              </w:rPr>
              <w:t>表1-</w:t>
            </w:r>
            <w:r>
              <w:rPr>
                <w:rFonts w:hint="eastAsia"/>
                <w:b/>
                <w:bCs/>
                <w:color w:val="000000"/>
                <w:sz w:val="21"/>
                <w:szCs w:val="21"/>
                <w:highlight w:val="none"/>
                <w:lang w:val="en-US" w:eastAsia="zh-CN"/>
              </w:rPr>
              <w:t>13</w:t>
            </w:r>
            <w:r>
              <w:rPr>
                <w:b/>
                <w:bCs/>
                <w:color w:val="000000"/>
                <w:sz w:val="21"/>
                <w:szCs w:val="21"/>
                <w:highlight w:val="none"/>
              </w:rPr>
              <w:t xml:space="preserve">  与“十四五”生态环境保护规划符合性分析</w:t>
            </w:r>
          </w:p>
          <w:tbl>
            <w:tblPr>
              <w:tblStyle w:val="19"/>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989"/>
              <w:gridCol w:w="1714"/>
              <w:gridCol w:w="669"/>
            </w:tblGrid>
            <w:tr w14:paraId="56FFFA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6A39FF22">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序号</w:t>
                  </w:r>
                </w:p>
              </w:tc>
              <w:tc>
                <w:tcPr>
                  <w:tcW w:w="3154" w:type="pct"/>
                  <w:noWrap w:val="0"/>
                  <w:vAlign w:val="center"/>
                </w:tcPr>
                <w:p w14:paraId="680BB80F">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文件要求</w:t>
                  </w:r>
                  <w:r>
                    <w:rPr>
                      <w:rFonts w:hint="eastAsia" w:ascii="Times New Roman" w:hAnsi="Times New Roman" w:cs="Times New Roman"/>
                      <w:color w:val="auto"/>
                      <w:kern w:val="2"/>
                      <w:sz w:val="21"/>
                      <w:szCs w:val="21"/>
                      <w:lang w:val="en-US" w:eastAsia="zh-CN" w:bidi="ar-SA"/>
                    </w:rPr>
                    <w:t>（节选）</w:t>
                  </w:r>
                </w:p>
              </w:tc>
              <w:tc>
                <w:tcPr>
                  <w:tcW w:w="1083" w:type="pct"/>
                  <w:noWrap w:val="0"/>
                  <w:vAlign w:val="center"/>
                </w:tcPr>
                <w:p w14:paraId="01BE0B1A">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项目情况</w:t>
                  </w:r>
                </w:p>
              </w:tc>
              <w:tc>
                <w:tcPr>
                  <w:tcW w:w="423" w:type="pct"/>
                  <w:noWrap w:val="0"/>
                  <w:vAlign w:val="center"/>
                </w:tcPr>
                <w:p w14:paraId="70B56A96">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符合性</w:t>
                  </w:r>
                </w:p>
              </w:tc>
            </w:tr>
            <w:tr w14:paraId="307412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32668985">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 xml:space="preserve"> </w:t>
                  </w:r>
                  <w:r>
                    <w:rPr>
                      <w:rFonts w:hint="eastAsia"/>
                      <w:color w:val="000000"/>
                      <w:highlight w:val="none"/>
                    </w:rPr>
                    <w:t>《辽宁省人民政府办公厅关于印发辽宁省“十四五”生态环境保护规划的通知》</w:t>
                  </w:r>
                  <w:r>
                    <w:rPr>
                      <w:rFonts w:hint="default"/>
                      <w:color w:val="000000"/>
                      <w:highlight w:val="none"/>
                    </w:rPr>
                    <w:t xml:space="preserve"> </w:t>
                  </w:r>
                </w:p>
              </w:tc>
            </w:tr>
            <w:tr w14:paraId="5914F0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230F3073">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1</w:t>
                  </w:r>
                </w:p>
              </w:tc>
              <w:tc>
                <w:tcPr>
                  <w:tcW w:w="3154" w:type="pct"/>
                  <w:noWrap w:val="0"/>
                  <w:vAlign w:val="center"/>
                </w:tcPr>
                <w:p w14:paraId="5A559EE2">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建立生态环境分区管控机制。强化“三线一单”生态环境分区管控的约束和政策引领</w:t>
                  </w:r>
                  <w:r>
                    <w:rPr>
                      <w:rFonts w:hint="eastAsia"/>
                      <w:color w:val="000000"/>
                      <w:highlight w:val="none"/>
                      <w:lang w:eastAsia="zh-CN"/>
                    </w:rPr>
                    <w:t>，</w:t>
                  </w:r>
                  <w:r>
                    <w:rPr>
                      <w:color w:val="000000"/>
                      <w:highlight w:val="none"/>
                    </w:rPr>
                    <w:t>应用于相关专项规划编制、产业政策制定、城镇建设、资源开发、建设项目选址、执法监管等方面</w:t>
                  </w:r>
                  <w:r>
                    <w:rPr>
                      <w:rFonts w:hint="eastAsia"/>
                      <w:color w:val="000000"/>
                      <w:highlight w:val="none"/>
                      <w:lang w:eastAsia="zh-CN"/>
                    </w:rPr>
                    <w:t>，</w:t>
                  </w:r>
                  <w:r>
                    <w:rPr>
                      <w:color w:val="000000"/>
                      <w:highlight w:val="none"/>
                    </w:rPr>
                    <w:t>健全完善“三线一单”分区管控、规划环评审查和建设项目环评审批联动机制各市“三线一单”实施方案印发实施依法依规推行规划环评清单式管理</w:t>
                  </w:r>
                  <w:r>
                    <w:rPr>
                      <w:rFonts w:hint="eastAsia"/>
                      <w:color w:val="000000"/>
                      <w:highlight w:val="none"/>
                      <w:lang w:eastAsia="zh-CN"/>
                    </w:rPr>
                    <w:t>，</w:t>
                  </w:r>
                  <w:r>
                    <w:rPr>
                      <w:color w:val="000000"/>
                      <w:highlight w:val="none"/>
                    </w:rPr>
                    <w:t>实现重点产业园区规划环评全覆盖。</w:t>
                  </w:r>
                </w:p>
              </w:tc>
              <w:tc>
                <w:tcPr>
                  <w:tcW w:w="1083" w:type="pct"/>
                  <w:noWrap w:val="0"/>
                  <w:vAlign w:val="center"/>
                </w:tcPr>
                <w:p w14:paraId="35065747">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本项目建设符合</w:t>
                  </w:r>
                  <w:r>
                    <w:rPr>
                      <w:color w:val="000000"/>
                      <w:highlight w:val="none"/>
                    </w:rPr>
                    <w:t>“三线一单”生态环境分区管控</w:t>
                  </w:r>
                  <w:r>
                    <w:rPr>
                      <w:rFonts w:hint="eastAsia"/>
                      <w:color w:val="000000"/>
                      <w:highlight w:val="none"/>
                      <w:lang w:eastAsia="zh-CN"/>
                    </w:rPr>
                    <w:t>要求</w:t>
                  </w:r>
                </w:p>
              </w:tc>
              <w:tc>
                <w:tcPr>
                  <w:tcW w:w="423" w:type="pct"/>
                  <w:noWrap w:val="0"/>
                  <w:vAlign w:val="center"/>
                </w:tcPr>
                <w:p w14:paraId="7876F8BF">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60AE8D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1C25CE72">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2</w:t>
                  </w:r>
                </w:p>
              </w:tc>
              <w:tc>
                <w:tcPr>
                  <w:tcW w:w="3154" w:type="pct"/>
                  <w:noWrap w:val="0"/>
                  <w:vAlign w:val="center"/>
                </w:tcPr>
                <w:p w14:paraId="389A1922">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深入优化调整产业结构。持续压减淘汰落后和过剩产能，严格落实钢铁、水泥熟料、烧结砖瓦、电解铝、炼化等行业产能置换要求。</w:t>
                  </w:r>
                </w:p>
              </w:tc>
              <w:tc>
                <w:tcPr>
                  <w:tcW w:w="1083" w:type="pct"/>
                  <w:noWrap w:val="0"/>
                  <w:vAlign w:val="center"/>
                </w:tcPr>
                <w:p w14:paraId="08ABCB10">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本项目属于</w:t>
                  </w:r>
                  <w:r>
                    <w:rPr>
                      <w:rFonts w:hint="eastAsia"/>
                      <w:color w:val="000000"/>
                      <w:szCs w:val="21"/>
                      <w:highlight w:val="none"/>
                      <w:lang w:val="en-US" w:eastAsia="zh-CN"/>
                    </w:rPr>
                    <w:t>特种玻璃制造行业，</w:t>
                  </w:r>
                  <w:r>
                    <w:rPr>
                      <w:rFonts w:hint="eastAsia"/>
                      <w:color w:val="000000"/>
                      <w:highlight w:val="none"/>
                      <w:lang w:eastAsia="zh-CN"/>
                    </w:rPr>
                    <w:t>不在</w:t>
                  </w:r>
                  <w:r>
                    <w:rPr>
                      <w:color w:val="000000"/>
                      <w:highlight w:val="none"/>
                    </w:rPr>
                    <w:t>落后和过剩产能</w:t>
                  </w:r>
                  <w:r>
                    <w:rPr>
                      <w:rFonts w:hint="eastAsia"/>
                      <w:color w:val="000000"/>
                      <w:highlight w:val="none"/>
                      <w:lang w:eastAsia="zh-CN"/>
                    </w:rPr>
                    <w:t>行业中</w:t>
                  </w:r>
                </w:p>
              </w:tc>
              <w:tc>
                <w:tcPr>
                  <w:tcW w:w="423" w:type="pct"/>
                  <w:noWrap w:val="0"/>
                  <w:vAlign w:val="center"/>
                </w:tcPr>
                <w:p w14:paraId="6CAA2746">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0DCC17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45F71C4">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3</w:t>
                  </w:r>
                </w:p>
              </w:tc>
              <w:tc>
                <w:tcPr>
                  <w:tcW w:w="3154" w:type="pct"/>
                  <w:noWrap w:val="0"/>
                  <w:vAlign w:val="center"/>
                </w:tcPr>
                <w:p w14:paraId="05112F30">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加快优化调整能源结构。优化能源供给，大力发展风电和太阳能发电，安全有序发展核电</w:t>
                  </w:r>
                  <w:r>
                    <w:rPr>
                      <w:rFonts w:hint="eastAsia"/>
                      <w:color w:val="000000"/>
                      <w:highlight w:val="none"/>
                      <w:lang w:eastAsia="zh-CN"/>
                    </w:rPr>
                    <w:t>，</w:t>
                  </w:r>
                  <w:r>
                    <w:rPr>
                      <w:color w:val="000000"/>
                      <w:highlight w:val="none"/>
                    </w:rPr>
                    <w:t>推进红沿河、徐大堡和庄河等核电基地建设</w:t>
                  </w:r>
                  <w:r>
                    <w:rPr>
                      <w:rFonts w:hint="default"/>
                      <w:color w:val="000000"/>
                      <w:highlight w:val="none"/>
                    </w:rPr>
                    <w:t>,</w:t>
                  </w:r>
                  <w:r>
                    <w:rPr>
                      <w:color w:val="000000"/>
                      <w:highlight w:val="none"/>
                    </w:rPr>
                    <w:t>发挥天然气在低碳利用和能源调峰中的积极作用。加快实施能源消费结构调整，完善能耗</w:t>
                  </w:r>
                  <w:r>
                    <w:rPr>
                      <w:rFonts w:hint="default"/>
                      <w:color w:val="000000"/>
                      <w:highlight w:val="none"/>
                    </w:rPr>
                    <w:t>“</w:t>
                  </w:r>
                  <w:r>
                    <w:rPr>
                      <w:color w:val="000000"/>
                      <w:highlight w:val="none"/>
                    </w:rPr>
                    <w:t>双控</w:t>
                  </w:r>
                  <w:r>
                    <w:rPr>
                      <w:rFonts w:hint="default"/>
                      <w:color w:val="000000"/>
                      <w:highlight w:val="none"/>
                    </w:rPr>
                    <w:t>”</w:t>
                  </w:r>
                  <w:r>
                    <w:rPr>
                      <w:color w:val="000000"/>
                      <w:highlight w:val="none"/>
                    </w:rPr>
                    <w:t>。继续实施煤炭总量控制，推进煤炭替代。推行清洁能源替代，对以煤、石焦油、渣油、重油等为燃料的锅炉和工业炉窑</w:t>
                  </w:r>
                  <w:r>
                    <w:rPr>
                      <w:rFonts w:hint="eastAsia"/>
                      <w:color w:val="000000"/>
                      <w:highlight w:val="none"/>
                      <w:lang w:eastAsia="zh-CN"/>
                    </w:rPr>
                    <w:t>，</w:t>
                  </w:r>
                  <w:r>
                    <w:rPr>
                      <w:color w:val="000000"/>
                      <w:highlight w:val="none"/>
                    </w:rPr>
                    <w:t>加快使用清洁低碳能源以及工厂余热、电力热力等进行替代，持续推进清洁取暖。</w:t>
                  </w:r>
                </w:p>
              </w:tc>
              <w:tc>
                <w:tcPr>
                  <w:tcW w:w="1083" w:type="pct"/>
                  <w:noWrap w:val="0"/>
                  <w:vAlign w:val="center"/>
                </w:tcPr>
                <w:p w14:paraId="3D32B396">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本项目生产不需供热，生活采用电供热</w:t>
                  </w:r>
                </w:p>
              </w:tc>
              <w:tc>
                <w:tcPr>
                  <w:tcW w:w="423" w:type="pct"/>
                  <w:noWrap w:val="0"/>
                  <w:vAlign w:val="center"/>
                </w:tcPr>
                <w:p w14:paraId="018873A6">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6317A9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B6784E2">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4</w:t>
                  </w:r>
                </w:p>
              </w:tc>
              <w:tc>
                <w:tcPr>
                  <w:tcW w:w="3154" w:type="pct"/>
                  <w:noWrap w:val="0"/>
                  <w:vAlign w:val="center"/>
                </w:tcPr>
                <w:p w14:paraId="79B6A051">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强化燃煤锅炉整治和散煤污染治理。按照国家统一部署，推进热电联产企业供暖覆盖范围内的燃煤锅炉和小热电关停整合，实施燃煤锅炉超低排放改造。</w:t>
                  </w:r>
                </w:p>
              </w:tc>
              <w:tc>
                <w:tcPr>
                  <w:tcW w:w="1083" w:type="pct"/>
                  <w:noWrap w:val="0"/>
                  <w:vAlign w:val="center"/>
                </w:tcPr>
                <w:p w14:paraId="6C0626EA">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本项目不设置燃煤锅炉</w:t>
                  </w:r>
                </w:p>
              </w:tc>
              <w:tc>
                <w:tcPr>
                  <w:tcW w:w="423" w:type="pct"/>
                  <w:noWrap w:val="0"/>
                  <w:vAlign w:val="center"/>
                </w:tcPr>
                <w:p w14:paraId="0408472B">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00198D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59630447">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5</w:t>
                  </w:r>
                </w:p>
              </w:tc>
              <w:tc>
                <w:tcPr>
                  <w:tcW w:w="3154" w:type="pct"/>
                  <w:noWrap w:val="0"/>
                  <w:vAlign w:val="center"/>
                </w:tcPr>
                <w:p w14:paraId="46033BC4">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实施重点行业</w:t>
                  </w:r>
                  <w:r>
                    <w:rPr>
                      <w:rFonts w:hint="default"/>
                      <w:color w:val="000000"/>
                      <w:highlight w:val="none"/>
                    </w:rPr>
                    <w:t>NOx</w:t>
                  </w:r>
                  <w:r>
                    <w:rPr>
                      <w:color w:val="000000"/>
                      <w:highlight w:val="none"/>
                    </w:rPr>
                    <w:t>等污染物深度治理。以镁砂、钢铁、焦化、建材、有色金属冶炼、铸造等行业为重点，淘汰一批、替代一批、治理一批，分类推动工业炉窑全面实现污染物达标排放。</w:t>
                  </w:r>
                </w:p>
              </w:tc>
              <w:tc>
                <w:tcPr>
                  <w:tcW w:w="1083" w:type="pct"/>
                  <w:noWrap w:val="0"/>
                  <w:vAlign w:val="center"/>
                </w:tcPr>
                <w:p w14:paraId="3D92D42F">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本项目不产生氮氧化物</w:t>
                  </w:r>
                </w:p>
              </w:tc>
              <w:tc>
                <w:tcPr>
                  <w:tcW w:w="423" w:type="pct"/>
                  <w:noWrap w:val="0"/>
                  <w:vAlign w:val="center"/>
                </w:tcPr>
                <w:p w14:paraId="3B342ADA">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0E1852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6BAE6B11">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6</w:t>
                  </w:r>
                </w:p>
              </w:tc>
              <w:tc>
                <w:tcPr>
                  <w:tcW w:w="3154" w:type="pct"/>
                  <w:noWrap w:val="0"/>
                  <w:vAlign w:val="center"/>
                </w:tcPr>
                <w:p w14:paraId="3148E3EB">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强化噪声污染整治。全面排查工业生产、建筑施工、交通运输和社会生活等领域的重点噪声排放源，依法严厉查处噪声排放超标扰民行为。</w:t>
                  </w:r>
                </w:p>
              </w:tc>
              <w:tc>
                <w:tcPr>
                  <w:tcW w:w="1083" w:type="pct"/>
                  <w:noWrap w:val="0"/>
                  <w:vAlign w:val="center"/>
                </w:tcPr>
                <w:p w14:paraId="41DC2D83">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本项目</w:t>
                  </w:r>
                  <w:r>
                    <w:rPr>
                      <w:rFonts w:hint="eastAsia"/>
                      <w:color w:val="000000"/>
                      <w:highlight w:val="none"/>
                      <w:lang w:eastAsia="zh-CN"/>
                    </w:rPr>
                    <w:t>生产</w:t>
                  </w:r>
                  <w:r>
                    <w:rPr>
                      <w:color w:val="000000"/>
                      <w:highlight w:val="none"/>
                    </w:rPr>
                    <w:t>设备采取减振、隔音等方式，选择运行噪声低的低噪声设备。</w:t>
                  </w:r>
                </w:p>
              </w:tc>
              <w:tc>
                <w:tcPr>
                  <w:tcW w:w="423" w:type="pct"/>
                  <w:noWrap w:val="0"/>
                  <w:vAlign w:val="center"/>
                </w:tcPr>
                <w:p w14:paraId="67194F61">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rPr>
                  </w:pPr>
                  <w:r>
                    <w:rPr>
                      <w:color w:val="000000"/>
                      <w:highlight w:val="none"/>
                    </w:rPr>
                    <w:t>符合</w:t>
                  </w:r>
                </w:p>
              </w:tc>
            </w:tr>
            <w:tr w14:paraId="59B4E4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noWrap w:val="0"/>
                  <w:vAlign w:val="center"/>
                </w:tcPr>
                <w:p w14:paraId="5643CB0E">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《铁岭市十四五”生态环境保护规划》</w:t>
                  </w:r>
                  <w:r>
                    <w:rPr>
                      <w:rFonts w:hint="eastAsia" w:ascii="Times New Roman" w:hAnsi="Times New Roman" w:cs="Times New Roman"/>
                      <w:color w:val="auto"/>
                      <w:kern w:val="2"/>
                      <w:sz w:val="21"/>
                      <w:szCs w:val="21"/>
                      <w:lang w:val="en-US" w:eastAsia="zh-CN" w:bidi="ar-SA"/>
                    </w:rPr>
                    <w:t>（节选）</w:t>
                  </w:r>
                </w:p>
              </w:tc>
            </w:tr>
            <w:tr w14:paraId="7D89D7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1C71FB73">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val="en-US" w:eastAsia="zh-CN"/>
                    </w:rPr>
                  </w:pPr>
                  <w:r>
                    <w:rPr>
                      <w:rFonts w:hint="eastAsia"/>
                      <w:color w:val="000000"/>
                      <w:highlight w:val="none"/>
                      <w:lang w:val="en-US" w:eastAsia="zh-CN"/>
                    </w:rPr>
                    <w:t>1</w:t>
                  </w:r>
                </w:p>
              </w:tc>
              <w:tc>
                <w:tcPr>
                  <w:tcW w:w="3154" w:type="pct"/>
                  <w:noWrap w:val="0"/>
                  <w:vAlign w:val="center"/>
                </w:tcPr>
                <w:p w14:paraId="292A707D">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rFonts w:hint="eastAsia"/>
                      <w:color w:val="000000"/>
                      <w:highlight w:val="none"/>
                    </w:rPr>
                    <w:t>加快产业结构调整。依托区域发展优势，构建“一轴两带一区”新的产业空间格局，依托八大产业建立新的产业发展体系，提升经济发展质量和效益。严格执行辽宁省产业结构调整目录及淘汰落后产能计划，完成省下达的淘汰落后产能目标任务。完善落后产能退出机制，落实财政资金对落后产能退出、转型转产企业的补助，确保落后产能有序退出。加强对企业安全生产、能耗限额及污染排放的监督检查，严格落实总量替代、排污许可、区域限批等工作要求。综合运用差别电价、以奖促治、规费减免、贷款贴息等措施，加快促进农产品加工、煤炭开采、机械制造等重点产业结构调整和优化升级。</w:t>
                  </w:r>
                </w:p>
              </w:tc>
              <w:tc>
                <w:tcPr>
                  <w:tcW w:w="1083" w:type="pct"/>
                  <w:noWrap w:val="0"/>
                  <w:vAlign w:val="center"/>
                </w:tcPr>
                <w:p w14:paraId="5215A6D6">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lang w:val="en-US"/>
                    </w:rPr>
                  </w:pPr>
                  <w:r>
                    <w:rPr>
                      <w:rFonts w:hint="eastAsia"/>
                      <w:color w:val="000000"/>
                      <w:highlight w:val="none"/>
                      <w:lang w:eastAsia="zh-CN"/>
                    </w:rPr>
                    <w:t>本项目属于</w:t>
                  </w:r>
                  <w:r>
                    <w:rPr>
                      <w:rFonts w:hint="eastAsia"/>
                      <w:color w:val="000000"/>
                      <w:szCs w:val="21"/>
                      <w:highlight w:val="none"/>
                      <w:lang w:val="en-US" w:eastAsia="zh-CN"/>
                    </w:rPr>
                    <w:t>特种玻璃制造，</w:t>
                  </w:r>
                  <w:r>
                    <w:rPr>
                      <w:rFonts w:hint="eastAsia"/>
                      <w:color w:val="000000"/>
                      <w:highlight w:val="none"/>
                      <w:lang w:eastAsia="zh-CN"/>
                    </w:rPr>
                    <w:t>不在</w:t>
                  </w:r>
                  <w:r>
                    <w:rPr>
                      <w:color w:val="000000"/>
                      <w:highlight w:val="none"/>
                    </w:rPr>
                    <w:t>落后和过剩产能</w:t>
                  </w:r>
                  <w:r>
                    <w:rPr>
                      <w:rFonts w:hint="eastAsia"/>
                      <w:color w:val="000000"/>
                      <w:highlight w:val="none"/>
                      <w:lang w:eastAsia="zh-CN"/>
                    </w:rPr>
                    <w:t>行业中，项目产生的</w:t>
                  </w:r>
                  <w:r>
                    <w:rPr>
                      <w:rFonts w:hint="eastAsia"/>
                      <w:color w:val="000000"/>
                      <w:highlight w:val="none"/>
                      <w:lang w:val="en-US" w:eastAsia="zh-CN"/>
                    </w:rPr>
                    <w:t>VOCs落实总量替代原则，项目实施后企业及时更新排污许可</w:t>
                  </w:r>
                </w:p>
              </w:tc>
              <w:tc>
                <w:tcPr>
                  <w:tcW w:w="423" w:type="pct"/>
                  <w:noWrap w:val="0"/>
                  <w:vAlign w:val="center"/>
                </w:tcPr>
                <w:p w14:paraId="6F352EFC">
                  <w:pPr>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符合</w:t>
                  </w:r>
                </w:p>
              </w:tc>
            </w:tr>
            <w:tr w14:paraId="5BDDD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6B68BC9F">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val="en-US" w:eastAsia="zh-CN"/>
                    </w:rPr>
                  </w:pPr>
                  <w:r>
                    <w:rPr>
                      <w:rFonts w:hint="eastAsia"/>
                      <w:color w:val="000000"/>
                      <w:highlight w:val="none"/>
                      <w:lang w:val="en-US" w:eastAsia="zh-CN"/>
                    </w:rPr>
                    <w:t>2</w:t>
                  </w:r>
                </w:p>
              </w:tc>
              <w:tc>
                <w:tcPr>
                  <w:tcW w:w="3154" w:type="pct"/>
                  <w:noWrap w:val="0"/>
                  <w:vAlign w:val="center"/>
                </w:tcPr>
                <w:p w14:paraId="65DAA1B3">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rFonts w:hint="eastAsia"/>
                      <w:color w:val="000000"/>
                      <w:highlight w:val="none"/>
                    </w:rPr>
                    <w:t>加快能源结构调整。实施能源消费和能源生产革命，严格控制能源消费总量，增加非化石能源供给，持续减少以煤炭（含焦炭）为主的化石能源消费。研究制定减煤工作方案，严格控制煤炭消费，降低全市煤炭消费占比。加大民用散煤、燃煤锅炉、工业炉窑等用煤替代，大力实施终端能源电气化。积极发展清洁能源和新型能源，有序推进风电发展，提高光伏发电装机容量，继续推广乡（镇）公共生物质锅炉替代燃煤锅炉工程，因地制宜促进生物质能发电。提升能源利用效率。将能耗总量和强度“双控”指标任务纳入国民经济和社会发展年度计划。严格控制新建扩建钢铁、水泥、石化、有色、电解铝等高耗能项目，实施新建项目与煤炭消费总量控制挂钩机制，新建项目综合能源消费在1万吨标煤以上的实行能耗减量替代。鼓励县级建成区城中村、城边村、城乡结合部散煤燃烧改用高效、节能、清洁炉具。</w:t>
                  </w:r>
                </w:p>
              </w:tc>
              <w:tc>
                <w:tcPr>
                  <w:tcW w:w="1083" w:type="pct"/>
                  <w:noWrap w:val="0"/>
                  <w:vAlign w:val="center"/>
                </w:tcPr>
                <w:p w14:paraId="289F452E">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eastAsia="zh-CN"/>
                    </w:rPr>
                  </w:pPr>
                  <w:r>
                    <w:rPr>
                      <w:rFonts w:hint="eastAsia"/>
                      <w:color w:val="000000"/>
                      <w:highlight w:val="none"/>
                      <w:lang w:eastAsia="zh-CN"/>
                    </w:rPr>
                    <w:t>本项目不使用燃煤锅炉</w:t>
                  </w:r>
                </w:p>
              </w:tc>
              <w:tc>
                <w:tcPr>
                  <w:tcW w:w="423" w:type="pct"/>
                  <w:noWrap w:val="0"/>
                  <w:vAlign w:val="center"/>
                </w:tcPr>
                <w:p w14:paraId="2864C5E7">
                  <w:pPr>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符合</w:t>
                  </w:r>
                </w:p>
              </w:tc>
            </w:tr>
            <w:tr w14:paraId="284B11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3C9108B4">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val="en-US" w:eastAsia="zh-CN"/>
                    </w:rPr>
                  </w:pPr>
                  <w:r>
                    <w:rPr>
                      <w:rFonts w:hint="eastAsia"/>
                      <w:color w:val="000000"/>
                      <w:highlight w:val="none"/>
                      <w:lang w:val="en-US" w:eastAsia="zh-CN"/>
                    </w:rPr>
                    <w:t>3</w:t>
                  </w:r>
                </w:p>
              </w:tc>
              <w:tc>
                <w:tcPr>
                  <w:tcW w:w="3154" w:type="pct"/>
                  <w:noWrap w:val="0"/>
                  <w:vAlign w:val="center"/>
                </w:tcPr>
                <w:p w14:paraId="2060786D">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rFonts w:hint="eastAsia"/>
                      <w:color w:val="000000"/>
                      <w:highlight w:val="none"/>
                    </w:rPr>
                    <w:t>持续推进工业园区污染防治。强化工业园区、工业企业污水处理设施日常监管，建立进水浓度异常等突出问题清单，组织排查工业园区污水管网老旧破损、混接错接等情况，查明问题原因并开展整治，实施清单管理、动态销号；对依托城镇污水处理设施处理园区工业废水的9个工业集聚区进行全面评估，不适宜接入城镇污水处理设施的另行专项治理；加强园区企业纳管废水达标监测，强化企业特征污染物监控管理；继续推进工业园区企业明管化改造，持续推进雨污分流监督管理。</w:t>
                  </w:r>
                </w:p>
              </w:tc>
              <w:tc>
                <w:tcPr>
                  <w:tcW w:w="1083" w:type="pct"/>
                  <w:noWrap w:val="0"/>
                  <w:vAlign w:val="center"/>
                </w:tcPr>
                <w:p w14:paraId="20B9D8BF">
                  <w:pPr>
                    <w:pStyle w:val="80"/>
                    <w:keepNext w:val="0"/>
                    <w:keepLines w:val="0"/>
                    <w:pageBreakBefore w:val="0"/>
                    <w:widowControl w:val="0"/>
                    <w:kinsoku/>
                    <w:wordWrap/>
                    <w:overflowPunct/>
                    <w:topLinePunct w:val="0"/>
                    <w:bidi w:val="0"/>
                    <w:adjustRightInd w:val="0"/>
                    <w:snapToGrid w:val="0"/>
                    <w:textAlignment w:val="auto"/>
                    <w:rPr>
                      <w:rFonts w:hint="eastAsia"/>
                      <w:lang w:eastAsia="zh-CN"/>
                    </w:rPr>
                  </w:pPr>
                  <w:r>
                    <w:rPr>
                      <w:rFonts w:hint="eastAsia"/>
                      <w:color w:val="000000"/>
                      <w:highlight w:val="none"/>
                    </w:rPr>
                    <w:t>本项目</w:t>
                  </w:r>
                  <w:r>
                    <w:rPr>
                      <w:rFonts w:hint="eastAsia"/>
                      <w:color w:val="000000"/>
                      <w:highlight w:val="none"/>
                      <w:lang w:eastAsia="zh-CN"/>
                    </w:rPr>
                    <w:t>生产废水处理后循环使用，</w:t>
                  </w:r>
                  <w:r>
                    <w:rPr>
                      <w:rFonts w:hint="eastAsia"/>
                      <w:color w:val="000000"/>
                      <w:highlight w:val="none"/>
                      <w:lang w:val="en-US" w:eastAsia="zh-CN"/>
                    </w:rPr>
                    <w:t>生活污水</w:t>
                  </w:r>
                  <w:r>
                    <w:rPr>
                      <w:rFonts w:hint="default" w:ascii="Times New Roman" w:hAnsi="Times New Roman" w:cs="Times New Roman"/>
                      <w:color w:val="000000"/>
                      <w:sz w:val="21"/>
                      <w:szCs w:val="21"/>
                      <w:highlight w:val="none"/>
                      <w:vertAlign w:val="baseline"/>
                    </w:rPr>
                    <w:t>经化粪池处理后</w:t>
                  </w:r>
                  <w:r>
                    <w:rPr>
                      <w:rFonts w:hint="eastAsia" w:cs="Times New Roman"/>
                      <w:color w:val="000000"/>
                      <w:sz w:val="21"/>
                      <w:szCs w:val="21"/>
                      <w:highlight w:val="none"/>
                      <w:vertAlign w:val="baseline"/>
                      <w:lang w:val="en-US" w:eastAsia="zh-CN"/>
                    </w:rPr>
                    <w:t>排入</w:t>
                  </w:r>
                  <w:r>
                    <w:rPr>
                      <w:rFonts w:hint="eastAsia" w:ascii="Times New Roman" w:hAnsi="Times New Roman" w:cs="Times New Roman"/>
                      <w:color w:val="000000"/>
                      <w:sz w:val="21"/>
                      <w:szCs w:val="21"/>
                      <w:highlight w:val="none"/>
                      <w:vertAlign w:val="baseline"/>
                      <w:lang w:eastAsia="zh-CN"/>
                    </w:rPr>
                    <w:t>经</w:t>
                  </w:r>
                  <w:r>
                    <w:rPr>
                      <w:rFonts w:hint="eastAsia" w:cs="Times New Roman"/>
                      <w:color w:val="000000"/>
                      <w:sz w:val="21"/>
                      <w:szCs w:val="21"/>
                      <w:highlight w:val="none"/>
                      <w:vertAlign w:val="baseline"/>
                      <w:lang w:val="en-US" w:eastAsia="zh-CN"/>
                    </w:rPr>
                    <w:t>厂区污水处理站处理</w:t>
                  </w:r>
                  <w:r>
                    <w:rPr>
                      <w:rFonts w:hint="eastAsia" w:ascii="Times New Roman" w:hAnsi="Times New Roman" w:cs="Times New Roman"/>
                      <w:color w:val="000000"/>
                      <w:sz w:val="21"/>
                      <w:szCs w:val="21"/>
                      <w:highlight w:val="none"/>
                      <w:vertAlign w:val="baseline"/>
                      <w:lang w:eastAsia="zh-CN"/>
                    </w:rPr>
                    <w:t>后排入</w:t>
                  </w:r>
                  <w:r>
                    <w:rPr>
                      <w:rFonts w:hint="eastAsia" w:cs="Times New Roman"/>
                      <w:color w:val="000000"/>
                      <w:sz w:val="21"/>
                      <w:szCs w:val="21"/>
                      <w:highlight w:val="none"/>
                      <w:vertAlign w:val="baseline"/>
                      <w:lang w:eastAsia="zh-CN"/>
                    </w:rPr>
                    <w:t>调兵山城市</w:t>
                  </w:r>
                  <w:r>
                    <w:rPr>
                      <w:rFonts w:hint="default" w:ascii="Times New Roman" w:hAnsi="Times New Roman" w:cs="Times New Roman"/>
                      <w:color w:val="000000"/>
                      <w:sz w:val="21"/>
                      <w:szCs w:val="21"/>
                      <w:highlight w:val="none"/>
                      <w:vertAlign w:val="baseline"/>
                    </w:rPr>
                    <w:t>污水处理厂</w:t>
                  </w:r>
                </w:p>
              </w:tc>
              <w:tc>
                <w:tcPr>
                  <w:tcW w:w="423" w:type="pct"/>
                  <w:noWrap w:val="0"/>
                  <w:vAlign w:val="center"/>
                </w:tcPr>
                <w:p w14:paraId="70083B4D">
                  <w:pPr>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符合</w:t>
                  </w:r>
                </w:p>
              </w:tc>
            </w:tr>
            <w:tr w14:paraId="62AD85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8" w:type="pct"/>
                  <w:noWrap w:val="0"/>
                  <w:vAlign w:val="center"/>
                </w:tcPr>
                <w:p w14:paraId="294B85A2">
                  <w:pPr>
                    <w:pStyle w:val="80"/>
                    <w:keepNext w:val="0"/>
                    <w:keepLines w:val="0"/>
                    <w:pageBreakBefore w:val="0"/>
                    <w:widowControl w:val="0"/>
                    <w:kinsoku/>
                    <w:wordWrap/>
                    <w:overflowPunct/>
                    <w:topLinePunct w:val="0"/>
                    <w:bidi w:val="0"/>
                    <w:adjustRightInd w:val="0"/>
                    <w:snapToGrid w:val="0"/>
                    <w:textAlignment w:val="auto"/>
                    <w:rPr>
                      <w:rFonts w:hint="eastAsia" w:eastAsia="宋体"/>
                      <w:color w:val="000000"/>
                      <w:highlight w:val="none"/>
                      <w:lang w:val="en-US" w:eastAsia="zh-CN"/>
                    </w:rPr>
                  </w:pPr>
                  <w:r>
                    <w:rPr>
                      <w:rFonts w:hint="eastAsia"/>
                      <w:color w:val="000000"/>
                      <w:highlight w:val="none"/>
                      <w:lang w:val="en-US" w:eastAsia="zh-CN"/>
                    </w:rPr>
                    <w:t>4</w:t>
                  </w:r>
                </w:p>
              </w:tc>
              <w:tc>
                <w:tcPr>
                  <w:tcW w:w="3154" w:type="pct"/>
                  <w:noWrap w:val="0"/>
                  <w:vAlign w:val="center"/>
                </w:tcPr>
                <w:p w14:paraId="0B6A55FA">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rFonts w:hint="eastAsia"/>
                      <w:color w:val="000000"/>
                      <w:highlight w:val="none"/>
                    </w:rPr>
                    <w:t>　完善环境信息公开制度。督促排污企业落实自行监测主体责任，严格执行污染源自行监测和信息公开制度。公开信息包括排污企业通过企业网站等途径依法公开主要污染物名称、排放方式、执行标准以及污染防治设施建设和运行情况等，并对信息真实性负责。鼓励排污企业在确保安全生产前提下，通过设立企业开放日、建设教育体验场所等形式，向社会公众开放。督促上市公司、发债企业等市场主体落实强制性环境治理信息披露制度，全面、及时、准确地披露环境信息。</w:t>
                  </w:r>
                </w:p>
              </w:tc>
              <w:tc>
                <w:tcPr>
                  <w:tcW w:w="1083" w:type="pct"/>
                  <w:noWrap w:val="0"/>
                  <w:vAlign w:val="center"/>
                </w:tcPr>
                <w:p w14:paraId="11A98B8F">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rFonts w:hint="eastAsia"/>
                      <w:color w:val="000000"/>
                      <w:highlight w:val="none"/>
                      <w:lang w:val="en-US" w:eastAsia="zh-CN"/>
                    </w:rPr>
                    <w:t>项目实施后企业应及时更新排污许可</w:t>
                  </w:r>
                </w:p>
              </w:tc>
              <w:tc>
                <w:tcPr>
                  <w:tcW w:w="423" w:type="pct"/>
                  <w:noWrap w:val="0"/>
                  <w:vAlign w:val="center"/>
                </w:tcPr>
                <w:p w14:paraId="66E0DAAD">
                  <w:pPr>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符合</w:t>
                  </w:r>
                </w:p>
              </w:tc>
            </w:tr>
            <w:tr w14:paraId="0F041B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338" w:type="pct"/>
                  <w:noWrap w:val="0"/>
                  <w:vAlign w:val="center"/>
                </w:tcPr>
                <w:p w14:paraId="1794BFF4">
                  <w:pPr>
                    <w:pStyle w:val="80"/>
                    <w:keepNext w:val="0"/>
                    <w:keepLines w:val="0"/>
                    <w:pageBreakBefore w:val="0"/>
                    <w:widowControl w:val="0"/>
                    <w:kinsoku/>
                    <w:wordWrap/>
                    <w:overflowPunct/>
                    <w:topLinePunct w:val="0"/>
                    <w:bidi w:val="0"/>
                    <w:adjustRightInd w:val="0"/>
                    <w:snapToGrid w:val="0"/>
                    <w:textAlignment w:val="auto"/>
                    <w:rPr>
                      <w:rFonts w:hint="default"/>
                      <w:color w:val="000000"/>
                      <w:highlight w:val="none"/>
                      <w:lang w:val="en-US" w:eastAsia="zh-CN"/>
                    </w:rPr>
                  </w:pPr>
                  <w:r>
                    <w:rPr>
                      <w:rFonts w:hint="eastAsia"/>
                      <w:color w:val="000000"/>
                      <w:highlight w:val="none"/>
                      <w:lang w:val="en-US" w:eastAsia="zh-CN"/>
                    </w:rPr>
                    <w:t>5</w:t>
                  </w:r>
                </w:p>
              </w:tc>
              <w:tc>
                <w:tcPr>
                  <w:tcW w:w="3154" w:type="pct"/>
                  <w:noWrap w:val="0"/>
                  <w:vAlign w:val="center"/>
                </w:tcPr>
                <w:p w14:paraId="25CAA81B">
                  <w:pPr>
                    <w:pStyle w:val="80"/>
                    <w:keepNext w:val="0"/>
                    <w:keepLines w:val="0"/>
                    <w:pageBreakBefore w:val="0"/>
                    <w:widowControl w:val="0"/>
                    <w:kinsoku/>
                    <w:wordWrap/>
                    <w:overflowPunct/>
                    <w:topLinePunct w:val="0"/>
                    <w:bidi w:val="0"/>
                    <w:adjustRightInd w:val="0"/>
                    <w:snapToGrid w:val="0"/>
                    <w:textAlignment w:val="auto"/>
                    <w:rPr>
                      <w:rFonts w:hint="eastAsia"/>
                      <w:color w:val="000000"/>
                      <w:highlight w:val="none"/>
                    </w:rPr>
                  </w:pPr>
                  <w:r>
                    <w:rPr>
                      <w:rFonts w:hint="eastAsia"/>
                      <w:color w:val="000000"/>
                      <w:highlight w:val="none"/>
                    </w:rPr>
                    <w:t>加强工业噪声源头控制，对噪声污染高的企业采取限批手段，对新建企业要求厂房远离噪声敏感点。厂房建设采取门窗隔声、阻尼、吸声、隔振技术，加强企业厂界的立体绿化，修筑隔声墙、隔声室、隔声机罩等措施，厂区内高噪声车间或高噪声设备应尽可能远离工厂边界，减少噪声外泄。加强工业园区噪声污染防治，产生噪声污染的项目需确保运营过程中噪声污染防治设施正常使用，确保噪声达标。</w:t>
                  </w:r>
                </w:p>
              </w:tc>
              <w:tc>
                <w:tcPr>
                  <w:tcW w:w="1083" w:type="pct"/>
                  <w:noWrap w:val="0"/>
                  <w:vAlign w:val="center"/>
                </w:tcPr>
                <w:p w14:paraId="487C4B15">
                  <w:pPr>
                    <w:pStyle w:val="80"/>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本项目</w:t>
                  </w:r>
                  <w:r>
                    <w:rPr>
                      <w:rFonts w:hint="eastAsia"/>
                      <w:color w:val="000000"/>
                      <w:highlight w:val="none"/>
                      <w:lang w:eastAsia="zh-CN"/>
                    </w:rPr>
                    <w:t>生产</w:t>
                  </w:r>
                  <w:r>
                    <w:rPr>
                      <w:color w:val="000000"/>
                      <w:highlight w:val="none"/>
                    </w:rPr>
                    <w:t>设备采取减振、隔音等方式，选择运行噪声低的低噪声设备。</w:t>
                  </w:r>
                </w:p>
              </w:tc>
              <w:tc>
                <w:tcPr>
                  <w:tcW w:w="423" w:type="pct"/>
                  <w:noWrap w:val="0"/>
                  <w:vAlign w:val="center"/>
                </w:tcPr>
                <w:p w14:paraId="2EBEB5CA">
                  <w:pPr>
                    <w:keepNext w:val="0"/>
                    <w:keepLines w:val="0"/>
                    <w:pageBreakBefore w:val="0"/>
                    <w:widowControl w:val="0"/>
                    <w:kinsoku/>
                    <w:wordWrap/>
                    <w:overflowPunct/>
                    <w:topLinePunct w:val="0"/>
                    <w:bidi w:val="0"/>
                    <w:adjustRightInd w:val="0"/>
                    <w:snapToGrid w:val="0"/>
                    <w:textAlignment w:val="auto"/>
                    <w:rPr>
                      <w:color w:val="000000"/>
                      <w:highlight w:val="none"/>
                    </w:rPr>
                  </w:pPr>
                  <w:r>
                    <w:rPr>
                      <w:color w:val="000000"/>
                      <w:highlight w:val="none"/>
                    </w:rPr>
                    <w:t>符合</w:t>
                  </w:r>
                </w:p>
              </w:tc>
            </w:tr>
          </w:tbl>
          <w:p w14:paraId="3B3BCDAB">
            <w:pPr>
              <w:pStyle w:val="81"/>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textAlignment w:val="auto"/>
              <w:rPr>
                <w:rFonts w:hint="default" w:ascii="Times New Roman" w:hAnsi="Times New Roman" w:eastAsia="宋体" w:cs="Times New Roman"/>
                <w:b/>
                <w:bCs/>
                <w:spacing w:val="-2"/>
                <w:sz w:val="24"/>
                <w:szCs w:val="24"/>
              </w:rPr>
            </w:pPr>
            <w:r>
              <w:rPr>
                <w:rFonts w:hint="default" w:ascii="Times New Roman" w:hAnsi="Times New Roman" w:eastAsia="宋体" w:cs="Times New Roman"/>
                <w:b/>
                <w:bCs/>
                <w:spacing w:val="-2"/>
                <w:sz w:val="24"/>
                <w:szCs w:val="24"/>
                <w:lang w:val="en-US" w:eastAsia="zh-CN"/>
              </w:rPr>
              <w:t>12、</w:t>
            </w:r>
            <w:r>
              <w:rPr>
                <w:rFonts w:hint="default" w:ascii="Times New Roman" w:hAnsi="Times New Roman" w:eastAsia="宋体" w:cs="Times New Roman"/>
                <w:b/>
                <w:bCs/>
                <w:spacing w:val="-2"/>
                <w:sz w:val="24"/>
                <w:szCs w:val="24"/>
              </w:rPr>
              <w:t>与</w:t>
            </w:r>
            <w:r>
              <w:rPr>
                <w:rFonts w:hint="default" w:ascii="Times New Roman" w:hAnsi="Times New Roman" w:cs="Times New Roman"/>
                <w:b/>
                <w:bCs/>
                <w:spacing w:val="-2"/>
                <w:sz w:val="24"/>
                <w:szCs w:val="24"/>
                <w:lang w:eastAsia="zh-CN"/>
              </w:rPr>
              <w:t>《</w:t>
            </w:r>
            <w:r>
              <w:rPr>
                <w:rFonts w:hint="default" w:ascii="Times New Roman" w:hAnsi="Times New Roman" w:eastAsia="宋体" w:cs="Times New Roman"/>
                <w:b/>
                <w:bCs/>
                <w:spacing w:val="-2"/>
                <w:sz w:val="24"/>
                <w:szCs w:val="24"/>
              </w:rPr>
              <w:t>“十四五”噪声污染防治行动计划</w:t>
            </w:r>
            <w:r>
              <w:rPr>
                <w:rFonts w:hint="default" w:ascii="Times New Roman" w:hAnsi="Times New Roman" w:cs="Times New Roman"/>
                <w:b/>
                <w:bCs/>
                <w:spacing w:val="-2"/>
                <w:sz w:val="24"/>
                <w:szCs w:val="24"/>
                <w:lang w:eastAsia="zh-CN"/>
              </w:rPr>
              <w:t>》</w:t>
            </w:r>
            <w:r>
              <w:rPr>
                <w:rFonts w:hint="default" w:ascii="Times New Roman" w:hAnsi="Times New Roman" w:cs="Times New Roman"/>
                <w:b/>
                <w:bCs/>
                <w:spacing w:val="-2"/>
                <w:sz w:val="24"/>
                <w:szCs w:val="24"/>
                <w:lang w:val="en-US" w:eastAsia="zh-CN"/>
              </w:rPr>
              <w:t>《辽宁省噪声污染防治行动方案（2023-2025年）》</w:t>
            </w:r>
            <w:r>
              <w:rPr>
                <w:rFonts w:hint="default" w:ascii="Times New Roman" w:hAnsi="Times New Roman" w:eastAsia="宋体" w:cs="Times New Roman"/>
                <w:b/>
                <w:bCs/>
                <w:spacing w:val="-2"/>
                <w:sz w:val="24"/>
                <w:szCs w:val="24"/>
              </w:rPr>
              <w:t>符合性分析</w:t>
            </w:r>
          </w:p>
          <w:p w14:paraId="349CB35A">
            <w:pPr>
              <w:pStyle w:val="53"/>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color w:val="000000"/>
                <w:sz w:val="24"/>
                <w:szCs w:val="24"/>
                <w:highlight w:val="none"/>
                <w:lang w:eastAsia="zh-CN"/>
              </w:rPr>
              <w:t>本项目与《</w:t>
            </w:r>
            <w:r>
              <w:rPr>
                <w:rFonts w:hint="default" w:ascii="Times New Roman" w:hAnsi="Times New Roman" w:cs="Times New Roman"/>
                <w:color w:val="000000"/>
                <w:sz w:val="24"/>
                <w:szCs w:val="24"/>
                <w:highlight w:val="none"/>
              </w:rPr>
              <w:t>“十四五”噪声污染防治行动计划</w:t>
            </w:r>
            <w:r>
              <w:rPr>
                <w:rFonts w:hint="default" w:ascii="Times New Roman" w:hAnsi="Times New Roman" w:cs="Times New Roman"/>
                <w:color w:val="000000"/>
                <w:sz w:val="24"/>
                <w:szCs w:val="24"/>
                <w:highlight w:val="none"/>
                <w:lang w:eastAsia="zh-CN"/>
              </w:rPr>
              <w:t>》、《</w:t>
            </w:r>
            <w:r>
              <w:rPr>
                <w:rStyle w:val="54"/>
                <w:rFonts w:hint="default" w:ascii="Times New Roman" w:hAnsi="Times New Roman" w:cs="Times New Roman"/>
                <w:color w:val="000000"/>
                <w:sz w:val="24"/>
                <w:szCs w:val="24"/>
                <w:highlight w:val="none"/>
              </w:rPr>
              <w:t>辽宁省噪声污染防治行动方案（2023</w:t>
            </w:r>
            <w:r>
              <w:rPr>
                <w:rStyle w:val="54"/>
                <w:rFonts w:hint="default" w:ascii="Times New Roman" w:hAnsi="Times New Roman" w:cs="Times New Roman"/>
                <w:color w:val="000000"/>
                <w:sz w:val="24"/>
                <w:szCs w:val="24"/>
                <w:highlight w:val="none"/>
                <w:lang w:val="en-US" w:eastAsia="zh-CN"/>
              </w:rPr>
              <w:t>-</w:t>
            </w:r>
            <w:r>
              <w:rPr>
                <w:rStyle w:val="54"/>
                <w:rFonts w:hint="default" w:ascii="Times New Roman" w:hAnsi="Times New Roman" w:cs="Times New Roman"/>
                <w:color w:val="000000"/>
                <w:sz w:val="24"/>
                <w:szCs w:val="24"/>
                <w:highlight w:val="none"/>
              </w:rPr>
              <w:t>2025年）</w:t>
            </w:r>
            <w:r>
              <w:rPr>
                <w:rFonts w:hint="default" w:ascii="Times New Roman" w:hAnsi="Times New Roman" w:cs="Times New Roman"/>
                <w:color w:val="000000"/>
                <w:sz w:val="24"/>
                <w:szCs w:val="24"/>
                <w:highlight w:val="none"/>
                <w:lang w:eastAsia="zh-CN"/>
              </w:rPr>
              <w:t>》符合性分析见下表。</w:t>
            </w:r>
          </w:p>
          <w:p w14:paraId="4C943F3D">
            <w:pPr>
              <w:pStyle w:val="80"/>
              <w:spacing w:line="360" w:lineRule="auto"/>
              <w:rPr>
                <w:b/>
                <w:bCs/>
                <w:color w:val="000000"/>
                <w:highlight w:val="none"/>
              </w:rPr>
            </w:pPr>
            <w:r>
              <w:rPr>
                <w:b/>
                <w:bCs/>
                <w:color w:val="000000"/>
                <w:highlight w:val="none"/>
              </w:rPr>
              <w:t>表</w:t>
            </w:r>
            <w:r>
              <w:rPr>
                <w:rFonts w:hint="default"/>
                <w:b/>
                <w:bCs/>
                <w:color w:val="000000"/>
                <w:highlight w:val="none"/>
              </w:rPr>
              <w:t>1-</w:t>
            </w:r>
            <w:r>
              <w:rPr>
                <w:rFonts w:hint="eastAsia"/>
                <w:b/>
                <w:bCs/>
                <w:color w:val="000000"/>
                <w:highlight w:val="none"/>
                <w:lang w:val="en-US" w:eastAsia="zh-CN"/>
              </w:rPr>
              <w:t>14</w:t>
            </w:r>
            <w:r>
              <w:rPr>
                <w:b/>
                <w:bCs/>
                <w:color w:val="000000"/>
                <w:highlight w:val="none"/>
              </w:rPr>
              <w:t xml:space="preserve">  与“十四五”噪声污染防治行动计划相符性分析</w:t>
            </w:r>
          </w:p>
          <w:tbl>
            <w:tblPr>
              <w:tblStyle w:val="19"/>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2125"/>
              <w:gridCol w:w="848"/>
            </w:tblGrid>
            <w:tr w14:paraId="636B71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pct"/>
                  <w:noWrap w:val="0"/>
                  <w:vAlign w:val="center"/>
                </w:tcPr>
                <w:p w14:paraId="0216ADBD">
                  <w:pPr>
                    <w:pStyle w:val="80"/>
                    <w:rPr>
                      <w:rFonts w:hint="default"/>
                      <w:color w:val="000000"/>
                      <w:highlight w:val="none"/>
                    </w:rPr>
                  </w:pPr>
                  <w:r>
                    <w:rPr>
                      <w:color w:val="000000"/>
                      <w:highlight w:val="none"/>
                    </w:rPr>
                    <w:t>相关内容</w:t>
                  </w:r>
                  <w:r>
                    <w:rPr>
                      <w:rFonts w:hint="eastAsia" w:ascii="Times New Roman" w:hAnsi="Times New Roman" w:cs="Times New Roman"/>
                      <w:color w:val="auto"/>
                      <w:kern w:val="2"/>
                      <w:sz w:val="21"/>
                      <w:szCs w:val="21"/>
                      <w:lang w:val="en-US" w:eastAsia="zh-CN" w:bidi="ar-SA"/>
                    </w:rPr>
                    <w:t>（节选）</w:t>
                  </w:r>
                </w:p>
              </w:tc>
              <w:tc>
                <w:tcPr>
                  <w:tcW w:w="1343" w:type="pct"/>
                  <w:noWrap w:val="0"/>
                  <w:vAlign w:val="center"/>
                </w:tcPr>
                <w:p w14:paraId="04993A81">
                  <w:pPr>
                    <w:pStyle w:val="80"/>
                    <w:rPr>
                      <w:rFonts w:hint="default"/>
                      <w:color w:val="000000"/>
                      <w:highlight w:val="none"/>
                    </w:rPr>
                  </w:pPr>
                  <w:r>
                    <w:rPr>
                      <w:color w:val="000000"/>
                      <w:highlight w:val="none"/>
                    </w:rPr>
                    <w:t>本项目情况</w:t>
                  </w:r>
                </w:p>
              </w:tc>
              <w:tc>
                <w:tcPr>
                  <w:tcW w:w="534" w:type="pct"/>
                  <w:noWrap w:val="0"/>
                  <w:vAlign w:val="center"/>
                </w:tcPr>
                <w:p w14:paraId="5DDF93CB">
                  <w:pPr>
                    <w:pStyle w:val="80"/>
                    <w:rPr>
                      <w:rFonts w:hint="default"/>
                      <w:color w:val="000000"/>
                      <w:highlight w:val="none"/>
                    </w:rPr>
                  </w:pPr>
                  <w:r>
                    <w:rPr>
                      <w:color w:val="000000"/>
                      <w:highlight w:val="none"/>
                    </w:rPr>
                    <w:t>相符性</w:t>
                  </w:r>
                </w:p>
              </w:tc>
            </w:tr>
            <w:tr w14:paraId="628C9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7A41289E">
                  <w:pPr>
                    <w:pStyle w:val="80"/>
                    <w:rPr>
                      <w:color w:val="000000"/>
                      <w:highlight w:val="none"/>
                    </w:rPr>
                  </w:pPr>
                  <w:r>
                    <w:rPr>
                      <w:color w:val="000000"/>
                      <w:highlight w:val="none"/>
                    </w:rPr>
                    <w:t>“十四五”噪声污染防治行动计划</w:t>
                  </w:r>
                </w:p>
              </w:tc>
            </w:tr>
            <w:tr w14:paraId="44C061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1" w:type="pct"/>
                  <w:noWrap w:val="0"/>
                  <w:vAlign w:val="center"/>
                </w:tcPr>
                <w:p w14:paraId="182B8445">
                  <w:pPr>
                    <w:pStyle w:val="80"/>
                    <w:rPr>
                      <w:rFonts w:hint="default"/>
                      <w:color w:val="000000"/>
                      <w:highlight w:val="none"/>
                    </w:rPr>
                  </w:pPr>
                  <w:r>
                    <w:rPr>
                      <w:rFonts w:hint="default"/>
                      <w:color w:val="000000"/>
                      <w:highlight w:val="none"/>
                    </w:rPr>
                    <w:t>深化工业企业噪声污染防治，加强重点企业监管</w:t>
                  </w:r>
                  <w:r>
                    <w:rPr>
                      <w:rFonts w:hint="eastAsia"/>
                      <w:color w:val="000000"/>
                      <w:highlight w:val="none"/>
                      <w:lang w:eastAsia="zh-CN"/>
                    </w:rPr>
                    <w:t>：</w:t>
                  </w:r>
                  <w:r>
                    <w:rPr>
                      <w:rFonts w:hint="default"/>
                      <w:color w:val="000000"/>
                      <w:highlight w:val="none"/>
                    </w:rPr>
                    <w:t>树立工业噪声污染治理标杆。排放噪声的工业企业应切实采取减振降噪措施，加强厂区内固定设备、运输工具、货物装卸等噪声源管理，同时避免突发噪声扰民。鼓励企业采用先进治理技术，打造行业噪声污染治理示范典型。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1343" w:type="pct"/>
                  <w:noWrap w:val="0"/>
                  <w:vAlign w:val="center"/>
                </w:tcPr>
                <w:p w14:paraId="47BF44A2">
                  <w:pPr>
                    <w:pStyle w:val="80"/>
                    <w:rPr>
                      <w:rFonts w:hint="default"/>
                      <w:color w:val="000000"/>
                      <w:highlight w:val="none"/>
                    </w:rPr>
                  </w:pPr>
                  <w:r>
                    <w:rPr>
                      <w:color w:val="000000"/>
                      <w:highlight w:val="none"/>
                    </w:rPr>
                    <w:t>本项目</w:t>
                  </w:r>
                  <w:r>
                    <w:rPr>
                      <w:rFonts w:hint="eastAsia"/>
                      <w:color w:val="000000"/>
                      <w:highlight w:val="none"/>
                      <w:lang w:eastAsia="zh-CN"/>
                    </w:rPr>
                    <w:t>采用</w:t>
                  </w:r>
                  <w:r>
                    <w:rPr>
                      <w:color w:val="000000"/>
                      <w:highlight w:val="none"/>
                    </w:rPr>
                    <w:t>低噪声设备，</w:t>
                  </w:r>
                  <w:r>
                    <w:rPr>
                      <w:rFonts w:hint="default"/>
                      <w:color w:val="000000"/>
                      <w:highlight w:val="none"/>
                    </w:rPr>
                    <w:t>并采取</w:t>
                  </w:r>
                  <w:r>
                    <w:rPr>
                      <w:color w:val="000000"/>
                      <w:highlight w:val="none"/>
                    </w:rPr>
                    <w:t>减振</w:t>
                  </w:r>
                  <w:r>
                    <w:rPr>
                      <w:rFonts w:hint="default"/>
                      <w:color w:val="000000"/>
                      <w:highlight w:val="none"/>
                    </w:rPr>
                    <w:t>、隔声等措施</w:t>
                  </w:r>
                  <w:r>
                    <w:rPr>
                      <w:color w:val="000000"/>
                      <w:highlight w:val="none"/>
                    </w:rPr>
                    <w:t>。严格按照噪声监测计划定期进行噪声污染监测。</w:t>
                  </w:r>
                </w:p>
              </w:tc>
              <w:tc>
                <w:tcPr>
                  <w:tcW w:w="534" w:type="pct"/>
                  <w:noWrap w:val="0"/>
                  <w:vAlign w:val="center"/>
                </w:tcPr>
                <w:p w14:paraId="127C2774">
                  <w:pPr>
                    <w:pStyle w:val="80"/>
                    <w:rPr>
                      <w:rFonts w:hint="default"/>
                      <w:color w:val="000000"/>
                      <w:highlight w:val="none"/>
                    </w:rPr>
                  </w:pPr>
                  <w:r>
                    <w:rPr>
                      <w:color w:val="000000"/>
                      <w:highlight w:val="none"/>
                    </w:rPr>
                    <w:t>符合</w:t>
                  </w:r>
                </w:p>
              </w:tc>
            </w:tr>
            <w:tr w14:paraId="6AEF52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248B832E">
                  <w:pPr>
                    <w:pStyle w:val="80"/>
                    <w:rPr>
                      <w:color w:val="000000"/>
                      <w:highlight w:val="none"/>
                    </w:rPr>
                  </w:pPr>
                  <w:r>
                    <w:rPr>
                      <w:rFonts w:hint="eastAsia"/>
                      <w:color w:val="000000"/>
                      <w:highlight w:val="none"/>
                    </w:rPr>
                    <w:t>辽宁省噪声污染防治行动方案（2023</w:t>
                  </w:r>
                  <w:r>
                    <w:rPr>
                      <w:rFonts w:hint="eastAsia"/>
                      <w:color w:val="000000"/>
                      <w:highlight w:val="none"/>
                      <w:lang w:val="en-US" w:eastAsia="zh-CN"/>
                    </w:rPr>
                    <w:t>-</w:t>
                  </w:r>
                  <w:r>
                    <w:rPr>
                      <w:rFonts w:hint="eastAsia"/>
                      <w:color w:val="000000"/>
                      <w:highlight w:val="none"/>
                    </w:rPr>
                    <w:t>2025年）</w:t>
                  </w:r>
                </w:p>
              </w:tc>
            </w:tr>
            <w:tr w14:paraId="49EB71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pct"/>
                  <w:noWrap w:val="0"/>
                  <w:vAlign w:val="center"/>
                </w:tcPr>
                <w:p w14:paraId="6D30BAD0">
                  <w:pPr>
                    <w:pStyle w:val="80"/>
                    <w:bidi w:val="0"/>
                    <w:rPr>
                      <w:rFonts w:hint="eastAsia" w:eastAsia="宋体"/>
                      <w:color w:val="000000"/>
                      <w:highlight w:val="none"/>
                      <w:lang w:eastAsia="zh-CN"/>
                    </w:rPr>
                  </w:pPr>
                  <w:r>
                    <w:rPr>
                      <w:rFonts w:hint="default"/>
                      <w:color w:val="000000"/>
                      <w:highlight w:val="none"/>
                    </w:rPr>
                    <w:t>树立工业噪声治理标杆。排放噪声的工业企业应切实采取减振降噪措施，加强厂区内固定设备、运输工具、货物装卸等噪声源管理，同时避免突发噪声扰民。鼓励企业采用先进治理技术，打造行业噪声污染治理示范典型。中央企业和省管企业要主动承担社会责任，切实发挥模范带头和引领示范作用，创建一批行业标杆。</w:t>
                  </w:r>
                </w:p>
              </w:tc>
              <w:tc>
                <w:tcPr>
                  <w:tcW w:w="1343" w:type="pct"/>
                  <w:noWrap w:val="0"/>
                  <w:vAlign w:val="center"/>
                </w:tcPr>
                <w:p w14:paraId="2A7B118C">
                  <w:pPr>
                    <w:pStyle w:val="80"/>
                    <w:rPr>
                      <w:rFonts w:hint="eastAsia" w:eastAsia="宋体"/>
                      <w:color w:val="000000"/>
                      <w:highlight w:val="none"/>
                      <w:lang w:eastAsia="zh-CN"/>
                    </w:rPr>
                  </w:pPr>
                  <w:r>
                    <w:rPr>
                      <w:color w:val="000000"/>
                      <w:highlight w:val="none"/>
                    </w:rPr>
                    <w:t>本项目</w:t>
                  </w:r>
                  <w:r>
                    <w:rPr>
                      <w:rFonts w:hint="eastAsia"/>
                      <w:color w:val="000000"/>
                      <w:highlight w:val="none"/>
                      <w:lang w:eastAsia="zh-CN"/>
                    </w:rPr>
                    <w:t>采用</w:t>
                  </w:r>
                  <w:r>
                    <w:rPr>
                      <w:color w:val="000000"/>
                      <w:highlight w:val="none"/>
                    </w:rPr>
                    <w:t>低噪声设备，</w:t>
                  </w:r>
                  <w:r>
                    <w:rPr>
                      <w:rFonts w:hint="default"/>
                      <w:color w:val="000000"/>
                      <w:highlight w:val="none"/>
                    </w:rPr>
                    <w:t>并采取</w:t>
                  </w:r>
                  <w:r>
                    <w:rPr>
                      <w:color w:val="000000"/>
                      <w:highlight w:val="none"/>
                    </w:rPr>
                    <w:t>减振</w:t>
                  </w:r>
                  <w:r>
                    <w:rPr>
                      <w:rFonts w:hint="default"/>
                      <w:color w:val="000000"/>
                      <w:highlight w:val="none"/>
                    </w:rPr>
                    <w:t>、隔声等措施</w:t>
                  </w:r>
                  <w:r>
                    <w:rPr>
                      <w:color w:val="000000"/>
                      <w:highlight w:val="none"/>
                    </w:rPr>
                    <w:t>。</w:t>
                  </w:r>
                  <w:r>
                    <w:rPr>
                      <w:rFonts w:hint="eastAsia"/>
                      <w:color w:val="000000"/>
                      <w:highlight w:val="none"/>
                    </w:rPr>
                    <w:t>厂内运输时应按照专用路线行驶</w:t>
                  </w:r>
                  <w:r>
                    <w:rPr>
                      <w:rFonts w:hint="eastAsia"/>
                      <w:color w:val="000000"/>
                      <w:highlight w:val="none"/>
                      <w:lang w:eastAsia="zh-CN"/>
                    </w:rPr>
                    <w:t>，厂</w:t>
                  </w:r>
                  <w:r>
                    <w:rPr>
                      <w:rFonts w:hint="eastAsia"/>
                      <w:color w:val="000000"/>
                      <w:highlight w:val="none"/>
                    </w:rPr>
                    <w:t>外运输作业安排在白天进行，大型设备施工车辆行经住宅及敏感点时应采取减速、禁鸣等措施。</w:t>
                  </w:r>
                </w:p>
              </w:tc>
              <w:tc>
                <w:tcPr>
                  <w:tcW w:w="534" w:type="pct"/>
                  <w:noWrap w:val="0"/>
                  <w:vAlign w:val="center"/>
                </w:tcPr>
                <w:p w14:paraId="2F4001AA">
                  <w:pPr>
                    <w:pStyle w:val="80"/>
                    <w:rPr>
                      <w:color w:val="000000"/>
                      <w:highlight w:val="none"/>
                    </w:rPr>
                  </w:pPr>
                  <w:r>
                    <w:rPr>
                      <w:color w:val="000000"/>
                      <w:highlight w:val="none"/>
                    </w:rPr>
                    <w:t>符合</w:t>
                  </w:r>
                </w:p>
              </w:tc>
            </w:tr>
            <w:tr w14:paraId="1BDF4B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pct"/>
                  <w:noWrap w:val="0"/>
                  <w:vAlign w:val="center"/>
                </w:tcPr>
                <w:p w14:paraId="64972AA7">
                  <w:pPr>
                    <w:pStyle w:val="80"/>
                    <w:bidi w:val="0"/>
                    <w:rPr>
                      <w:rFonts w:hint="default"/>
                      <w:color w:val="000000"/>
                      <w:highlight w:val="none"/>
                    </w:rPr>
                  </w:pPr>
                  <w:r>
                    <w:rPr>
                      <w:color w:val="000000"/>
                      <w:highlight w:val="none"/>
                    </w:rPr>
                    <w:t>加强工业园区管控。鼓励工业园区进行噪声污染分区管控，优化设备布局和物流运输路线，采用低噪声设备和运输工具。严控噪声污染严重的工业企业向乡村居住区域转移。</w:t>
                  </w:r>
                </w:p>
              </w:tc>
              <w:tc>
                <w:tcPr>
                  <w:tcW w:w="1343" w:type="pct"/>
                  <w:noWrap w:val="0"/>
                  <w:vAlign w:val="center"/>
                </w:tcPr>
                <w:p w14:paraId="7504D53E">
                  <w:pPr>
                    <w:pStyle w:val="80"/>
                    <w:rPr>
                      <w:rFonts w:hint="eastAsia" w:eastAsia="宋体"/>
                      <w:color w:val="000000"/>
                      <w:highlight w:val="none"/>
                      <w:lang w:eastAsia="zh-CN"/>
                    </w:rPr>
                  </w:pPr>
                  <w:r>
                    <w:rPr>
                      <w:rFonts w:hint="eastAsia"/>
                      <w:color w:val="000000"/>
                      <w:highlight w:val="none"/>
                      <w:lang w:eastAsia="zh-CN"/>
                    </w:rPr>
                    <w:t>本项目在工业园区内。</w:t>
                  </w:r>
                </w:p>
              </w:tc>
              <w:tc>
                <w:tcPr>
                  <w:tcW w:w="534" w:type="pct"/>
                  <w:noWrap w:val="0"/>
                  <w:vAlign w:val="center"/>
                </w:tcPr>
                <w:p w14:paraId="4D7032EB">
                  <w:pPr>
                    <w:pStyle w:val="80"/>
                    <w:rPr>
                      <w:color w:val="000000"/>
                      <w:highlight w:val="none"/>
                    </w:rPr>
                  </w:pPr>
                  <w:r>
                    <w:rPr>
                      <w:color w:val="000000"/>
                      <w:highlight w:val="none"/>
                    </w:rPr>
                    <w:t>符合</w:t>
                  </w:r>
                </w:p>
              </w:tc>
            </w:tr>
            <w:tr w14:paraId="2C7A27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pct"/>
                  <w:noWrap w:val="0"/>
                  <w:vAlign w:val="center"/>
                </w:tcPr>
                <w:p w14:paraId="0FC819FA">
                  <w:pPr>
                    <w:pStyle w:val="80"/>
                    <w:bidi w:val="0"/>
                    <w:rPr>
                      <w:rFonts w:hint="default"/>
                      <w:color w:val="000000"/>
                      <w:highlight w:val="none"/>
                    </w:rPr>
                  </w:pPr>
                  <w:r>
                    <w:rPr>
                      <w:color w:val="000000"/>
                      <w:highlight w:val="none"/>
                    </w:rPr>
                    <w:t>推进工业噪声实施排污许可和重点排污单位管理。依法核发排污许可证或进行排污登记，并加强监管；实行排污许可管理的单位依证排污，按照规定开展自行监测并向社会公开。依据《环境监管重点单位名录管理办法》，推进各市及沈抚示范区生态环境局编制本行政区域噪声重点排污单位名录，并按要求发布和更新；噪声重点排污单位应依法开展噪声自动监测，并及时与生态环境主管部门的监控设备联网。</w:t>
                  </w:r>
                </w:p>
              </w:tc>
              <w:tc>
                <w:tcPr>
                  <w:tcW w:w="1343" w:type="pct"/>
                  <w:noWrap w:val="0"/>
                  <w:vAlign w:val="center"/>
                </w:tcPr>
                <w:p w14:paraId="52FDA3B8">
                  <w:pPr>
                    <w:pStyle w:val="80"/>
                    <w:rPr>
                      <w:rFonts w:hint="eastAsia" w:eastAsia="宋体"/>
                      <w:color w:val="000000"/>
                      <w:highlight w:val="none"/>
                      <w:lang w:eastAsia="zh-CN"/>
                    </w:rPr>
                  </w:pPr>
                  <w:r>
                    <w:rPr>
                      <w:color w:val="000000"/>
                      <w:highlight w:val="none"/>
                    </w:rPr>
                    <w:t>本项目</w:t>
                  </w:r>
                  <w:r>
                    <w:rPr>
                      <w:rFonts w:hint="eastAsia"/>
                      <w:color w:val="000000"/>
                      <w:highlight w:val="none"/>
                      <w:lang w:eastAsia="zh-CN"/>
                    </w:rPr>
                    <w:t>采用</w:t>
                  </w:r>
                  <w:r>
                    <w:rPr>
                      <w:color w:val="000000"/>
                      <w:highlight w:val="none"/>
                    </w:rPr>
                    <w:t>低噪声设备，</w:t>
                  </w:r>
                  <w:r>
                    <w:rPr>
                      <w:rFonts w:hint="default"/>
                      <w:color w:val="000000"/>
                      <w:highlight w:val="none"/>
                    </w:rPr>
                    <w:t>并采取</w:t>
                  </w:r>
                  <w:r>
                    <w:rPr>
                      <w:color w:val="000000"/>
                      <w:highlight w:val="none"/>
                    </w:rPr>
                    <w:t>减振</w:t>
                  </w:r>
                  <w:r>
                    <w:rPr>
                      <w:rFonts w:hint="default"/>
                      <w:color w:val="000000"/>
                      <w:highlight w:val="none"/>
                    </w:rPr>
                    <w:t>、隔声等措施</w:t>
                  </w:r>
                  <w:r>
                    <w:rPr>
                      <w:color w:val="000000"/>
                      <w:highlight w:val="none"/>
                    </w:rPr>
                    <w:t>。严格按照噪声监测计划定期进行噪声污染监测。</w:t>
                  </w:r>
                  <w:r>
                    <w:rPr>
                      <w:rFonts w:hint="eastAsia"/>
                      <w:color w:val="000000"/>
                      <w:highlight w:val="none"/>
                      <w:lang w:eastAsia="zh-CN"/>
                    </w:rPr>
                    <w:t>按照</w:t>
                  </w:r>
                  <w:r>
                    <w:rPr>
                      <w:color w:val="000000"/>
                      <w:highlight w:val="none"/>
                    </w:rPr>
                    <w:t>排污许可管理</w:t>
                  </w:r>
                  <w:r>
                    <w:rPr>
                      <w:rFonts w:hint="eastAsia"/>
                      <w:color w:val="000000"/>
                      <w:highlight w:val="none"/>
                      <w:lang w:eastAsia="zh-CN"/>
                    </w:rPr>
                    <w:t>要求排污。</w:t>
                  </w:r>
                </w:p>
              </w:tc>
              <w:tc>
                <w:tcPr>
                  <w:tcW w:w="534" w:type="pct"/>
                  <w:noWrap w:val="0"/>
                  <w:vAlign w:val="center"/>
                </w:tcPr>
                <w:p w14:paraId="39E09CD7">
                  <w:pPr>
                    <w:pStyle w:val="80"/>
                    <w:rPr>
                      <w:color w:val="000000"/>
                      <w:highlight w:val="none"/>
                    </w:rPr>
                  </w:pPr>
                  <w:r>
                    <w:rPr>
                      <w:color w:val="000000"/>
                      <w:highlight w:val="none"/>
                    </w:rPr>
                    <w:t>符合</w:t>
                  </w:r>
                </w:p>
              </w:tc>
            </w:tr>
          </w:tbl>
          <w:p w14:paraId="19D95E11">
            <w:pPr>
              <w:pStyle w:val="81"/>
              <w:numPr>
                <w:ilvl w:val="0"/>
                <w:numId w:val="2"/>
              </w:numPr>
              <w:spacing w:before="36" w:line="330" w:lineRule="auto"/>
              <w:ind w:right="102"/>
              <w:rPr>
                <w:rFonts w:hint="default" w:ascii="Times New Roman" w:hAnsi="Times New Roman" w:cs="Times New Roman"/>
                <w:b/>
                <w:bCs/>
                <w:spacing w:val="-3"/>
                <w:sz w:val="24"/>
                <w:szCs w:val="24"/>
              </w:rPr>
            </w:pPr>
            <w:r>
              <w:rPr>
                <w:rFonts w:hint="default" w:ascii="Times New Roman" w:hAnsi="Times New Roman" w:cs="Times New Roman"/>
                <w:b/>
                <w:bCs/>
                <w:spacing w:val="-9"/>
                <w:sz w:val="24"/>
                <w:szCs w:val="24"/>
              </w:rPr>
              <w:t>本项目与《辽宁省深入打好污染防治攻坚战实施方案》（辽</w:t>
            </w:r>
            <w:r>
              <w:rPr>
                <w:rFonts w:hint="default" w:ascii="Times New Roman" w:hAnsi="Times New Roman" w:cs="Times New Roman"/>
                <w:b/>
                <w:bCs/>
                <w:spacing w:val="-3"/>
                <w:sz w:val="24"/>
                <w:szCs w:val="24"/>
              </w:rPr>
              <w:t>委发</w:t>
            </w:r>
            <w:r>
              <w:rPr>
                <w:rFonts w:hint="default" w:ascii="Times New Roman" w:hAnsi="Times New Roman" w:eastAsia="Times New Roman" w:cs="Times New Roman"/>
                <w:b/>
                <w:bCs/>
                <w:spacing w:val="-3"/>
                <w:sz w:val="24"/>
                <w:szCs w:val="24"/>
              </w:rPr>
              <w:t>[2022]8</w:t>
            </w:r>
            <w:r>
              <w:rPr>
                <w:rFonts w:hint="default" w:ascii="Times New Roman" w:hAnsi="Times New Roman" w:eastAsia="Times New Roman" w:cs="Times New Roman"/>
                <w:b/>
                <w:bCs/>
                <w:spacing w:val="21"/>
                <w:w w:val="101"/>
                <w:sz w:val="24"/>
                <w:szCs w:val="24"/>
              </w:rPr>
              <w:t xml:space="preserve"> </w:t>
            </w:r>
            <w:r>
              <w:rPr>
                <w:rFonts w:hint="default" w:ascii="Times New Roman" w:hAnsi="Times New Roman" w:cs="Times New Roman"/>
                <w:b/>
                <w:bCs/>
                <w:spacing w:val="-3"/>
                <w:sz w:val="24"/>
                <w:szCs w:val="24"/>
              </w:rPr>
              <w:t>号）相符性分析</w:t>
            </w:r>
          </w:p>
          <w:p w14:paraId="70AAE0EB">
            <w:pPr>
              <w:pStyle w:val="81"/>
              <w:spacing w:before="36" w:line="330" w:lineRule="auto"/>
              <w:ind w:right="102" w:firstLine="512" w:firstLineChars="200"/>
              <w:rPr>
                <w:rFonts w:hint="default" w:ascii="Times New Roman" w:hAnsi="Times New Roman" w:cs="Times New Roman"/>
                <w:b/>
                <w:bCs/>
                <w:spacing w:val="-3"/>
                <w:sz w:val="24"/>
                <w:szCs w:val="24"/>
              </w:rPr>
            </w:pPr>
            <w:r>
              <w:rPr>
                <w:rFonts w:hint="default" w:ascii="Times New Roman" w:hAnsi="Times New Roman" w:eastAsia="宋体" w:cs="Times New Roman"/>
                <w:color w:val="000000"/>
                <w:spacing w:val="8"/>
                <w:kern w:val="0"/>
                <w:sz w:val="24"/>
                <w:szCs w:val="24"/>
                <w:highlight w:val="none"/>
                <w:lang w:val="en-US" w:eastAsia="zh-CN" w:bidi="ar-SA"/>
              </w:rPr>
              <w:t>本项目与《辽宁省深入打好污染防治攻坚战实施方案》（辽委发[2022]8 号）相符性分析</w:t>
            </w:r>
            <w:r>
              <w:rPr>
                <w:rFonts w:hint="eastAsia" w:ascii="Times New Roman" w:hAnsi="Times New Roman" w:cs="Times New Roman"/>
                <w:color w:val="000000"/>
                <w:spacing w:val="8"/>
                <w:kern w:val="0"/>
                <w:sz w:val="24"/>
                <w:szCs w:val="24"/>
                <w:highlight w:val="none"/>
                <w:lang w:val="en-US" w:eastAsia="zh-CN" w:bidi="ar-SA"/>
              </w:rPr>
              <w:t>见表1-5。</w:t>
            </w:r>
          </w:p>
          <w:p w14:paraId="740E2BD4">
            <w:pPr>
              <w:jc w:val="center"/>
              <w:rPr>
                <w:b/>
                <w:bCs/>
                <w:spacing w:val="7"/>
                <w:sz w:val="21"/>
                <w:szCs w:val="21"/>
                <w:vertAlign w:val="baseline"/>
              </w:rPr>
            </w:pPr>
            <w:r>
              <w:rPr>
                <w:b/>
                <w:bCs/>
                <w:spacing w:val="7"/>
              </w:rPr>
              <w:t>表</w:t>
            </w:r>
            <w:r>
              <w:rPr>
                <w:spacing w:val="-23"/>
              </w:rPr>
              <w:t xml:space="preserve"> </w:t>
            </w:r>
            <w:r>
              <w:rPr>
                <w:rFonts w:ascii="Times New Roman" w:hAnsi="Times New Roman" w:eastAsia="Times New Roman" w:cs="Times New Roman"/>
                <w:b/>
                <w:bCs/>
                <w:spacing w:val="7"/>
              </w:rPr>
              <w:t>1-</w:t>
            </w:r>
            <w:r>
              <w:rPr>
                <w:rFonts w:hint="eastAsia" w:ascii="Times New Roman" w:hAnsi="Times New Roman" w:eastAsia="宋体" w:cs="Times New Roman"/>
                <w:b/>
                <w:bCs/>
                <w:spacing w:val="7"/>
                <w:lang w:val="en-US" w:eastAsia="zh-CN"/>
              </w:rPr>
              <w:t>5</w:t>
            </w:r>
            <w:r>
              <w:rPr>
                <w:rFonts w:ascii="Times New Roman" w:hAnsi="Times New Roman" w:eastAsia="Times New Roman" w:cs="Times New Roman"/>
                <w:b/>
                <w:bCs/>
                <w:spacing w:val="7"/>
              </w:rPr>
              <w:t xml:space="preserve">  </w:t>
            </w:r>
            <w:r>
              <w:rPr>
                <w:b/>
                <w:bCs/>
                <w:spacing w:val="7"/>
              </w:rPr>
              <w:t>项目与《辽宁省深入打好污染防治攻坚战实施方案》相符性分析表</w:t>
            </w:r>
          </w:p>
          <w:tbl>
            <w:tblPr>
              <w:tblStyle w:val="20"/>
              <w:tblW w:w="7913"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06"/>
              <w:gridCol w:w="2034"/>
              <w:gridCol w:w="873"/>
            </w:tblGrid>
            <w:tr w14:paraId="61C0BD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32A82B1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文件要求</w:t>
                  </w:r>
                  <w:r>
                    <w:rPr>
                      <w:rFonts w:hint="eastAsia" w:ascii="Times New Roman" w:hAnsi="Times New Roman" w:cs="Times New Roman"/>
                      <w:color w:val="auto"/>
                      <w:kern w:val="2"/>
                      <w:sz w:val="21"/>
                      <w:szCs w:val="21"/>
                      <w:lang w:val="en-US" w:eastAsia="zh-CN" w:bidi="ar-SA"/>
                    </w:rPr>
                    <w:t>（节选）</w:t>
                  </w:r>
                </w:p>
              </w:tc>
              <w:tc>
                <w:tcPr>
                  <w:tcW w:w="2034" w:type="dxa"/>
                  <w:tcBorders>
                    <w:tl2br w:val="nil"/>
                    <w:tr2bl w:val="nil"/>
                  </w:tcBorders>
                  <w:noWrap w:val="0"/>
                  <w:vAlign w:val="center"/>
                </w:tcPr>
                <w:p w14:paraId="0AA4F98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项目情况</w:t>
                  </w:r>
                </w:p>
              </w:tc>
              <w:tc>
                <w:tcPr>
                  <w:tcW w:w="873" w:type="dxa"/>
                  <w:tcBorders>
                    <w:tl2br w:val="nil"/>
                    <w:tr2bl w:val="nil"/>
                  </w:tcBorders>
                  <w:noWrap w:val="0"/>
                  <w:vAlign w:val="center"/>
                </w:tcPr>
                <w:p w14:paraId="3DDF2C2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相符性</w:t>
                  </w:r>
                </w:p>
              </w:tc>
            </w:tr>
            <w:tr w14:paraId="073740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3" w:type="dxa"/>
                  <w:gridSpan w:val="3"/>
                  <w:tcBorders>
                    <w:tl2br w:val="nil"/>
                    <w:tr2bl w:val="nil"/>
                  </w:tcBorders>
                  <w:noWrap w:val="0"/>
                  <w:vAlign w:val="center"/>
                </w:tcPr>
                <w:p w14:paraId="575DD2E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一、总体目标</w:t>
                  </w:r>
                </w:p>
              </w:tc>
            </w:tr>
            <w:tr w14:paraId="60D892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70BF2C2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到2025年，全省生态环境持续改善，主要污染物排放总量继续下降，单位地区生产总值二氧化碳排放比 2020年下降比例达到国家要求，地级及以上城市细颗粒物（PM2.5）平均浓度下降到34微克/立方米以下，空气质量优良天数比率达到88.3%以上，地表水国考断面达到或好于Ⅲ类水体比例达到78.7%以上，近岸海域水质优良（一、二类）比例达到92%以上，重污染天气、城市黑臭水体基本消除，土壤污染等环境风险得到有效管控，固体废物和新污染物治理能力明显增强，生态系统质量和稳定性持续提升，生态环境治理体系更加完善，生态文明建设取得新进步，绿色成为辽宁高质量发展的鲜明底色。到2035年，广泛形成绿色低碳生产生活方式，碳排放达峰后稳中有降，生态环境根本好转，基本建成人与自然和谐共生的美丽辽宁。</w:t>
                  </w:r>
                </w:p>
              </w:tc>
              <w:tc>
                <w:tcPr>
                  <w:tcW w:w="2034" w:type="dxa"/>
                  <w:tcBorders>
                    <w:tl2br w:val="nil"/>
                    <w:tr2bl w:val="nil"/>
                  </w:tcBorders>
                  <w:noWrap w:val="0"/>
                  <w:vAlign w:val="center"/>
                </w:tcPr>
                <w:p w14:paraId="3863BC6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5C037C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本项目属于</w:t>
                  </w:r>
                  <w:r>
                    <w:rPr>
                      <w:rFonts w:hint="eastAsia" w:ascii="Times New Roman" w:hAnsi="Times New Roman" w:eastAsia="宋体" w:cs="Times New Roman"/>
                      <w:color w:val="auto"/>
                      <w:kern w:val="2"/>
                      <w:sz w:val="21"/>
                      <w:szCs w:val="21"/>
                      <w:lang w:val="en-US" w:eastAsia="zh-CN" w:bidi="ar-SA"/>
                    </w:rPr>
                    <w:t>特种玻璃</w:t>
                  </w:r>
                  <w:r>
                    <w:rPr>
                      <w:rFonts w:hint="default" w:ascii="Times New Roman" w:hAnsi="Times New Roman" w:eastAsia="宋体" w:cs="Times New Roman"/>
                      <w:color w:val="auto"/>
                      <w:kern w:val="2"/>
                      <w:sz w:val="21"/>
                      <w:szCs w:val="21"/>
                      <w:lang w:val="en-US" w:eastAsia="zh-CN" w:bidi="ar-SA"/>
                    </w:rPr>
                    <w:t>制造项目，产生的污染物均能实现达标排放，满足区域环境质量改善目标管理要求。</w:t>
                  </w:r>
                </w:p>
              </w:tc>
              <w:tc>
                <w:tcPr>
                  <w:tcW w:w="873" w:type="dxa"/>
                  <w:tcBorders>
                    <w:tl2br w:val="nil"/>
                    <w:tr2bl w:val="nil"/>
                  </w:tcBorders>
                  <w:noWrap w:val="0"/>
                  <w:vAlign w:val="center"/>
                </w:tcPr>
                <w:p w14:paraId="479F634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E93FD7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0796AAD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619CB7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535F058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03DF6FB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53C1EE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13" w:type="dxa"/>
                  <w:gridSpan w:val="3"/>
                  <w:tcBorders>
                    <w:tl2br w:val="nil"/>
                    <w:tr2bl w:val="nil"/>
                  </w:tcBorders>
                  <w:noWrap w:val="0"/>
                  <w:vAlign w:val="center"/>
                </w:tcPr>
                <w:p w14:paraId="0964220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二、重点任务</w:t>
                  </w:r>
                </w:p>
              </w:tc>
            </w:tr>
            <w:tr w14:paraId="4D5FB5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5E415AB2">
                  <w:pPr>
                    <w:pStyle w:val="81"/>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right="0" w:firstLine="0"/>
                    <w:jc w:val="both"/>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加快推动绿色低碳发展</w:t>
                  </w:r>
                  <w:r>
                    <w:rPr>
                      <w:rFonts w:hint="eastAsia" w:ascii="Times New Roman" w:hAnsi="Times New Roman" w:eastAsia="宋体" w:cs="Times New Roman"/>
                      <w:color w:val="auto"/>
                      <w:kern w:val="2"/>
                      <w:sz w:val="21"/>
                      <w:szCs w:val="21"/>
                      <w:lang w:val="en-US" w:eastAsia="zh-CN" w:bidi="ar-SA"/>
                    </w:rPr>
                    <w:t>：</w:t>
                  </w:r>
                </w:p>
                <w:p w14:paraId="4F59B2BF">
                  <w:pPr>
                    <w:pStyle w:val="81"/>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Chars="0" w:right="0" w:right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坚决遏制高耗能高排放项目盲目发展</w:t>
                  </w:r>
                </w:p>
                <w:p w14:paraId="22FA7B47">
                  <w:pPr>
                    <w:pStyle w:val="81"/>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Chars="0" w:right="0" w:right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推进清洁生产和能源资源节约高效利用</w:t>
                  </w:r>
                </w:p>
                <w:p w14:paraId="022F104C">
                  <w:pPr>
                    <w:pStyle w:val="81"/>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Chars="0" w:right="0" w:rightChars="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加强生态环境分区管控 。严格落实“三 线一单”生态环境分区管控要求，优化区域生产力布局。</w:t>
                  </w:r>
                </w:p>
              </w:tc>
              <w:tc>
                <w:tcPr>
                  <w:tcW w:w="2034" w:type="dxa"/>
                  <w:tcBorders>
                    <w:tl2br w:val="nil"/>
                    <w:tr2bl w:val="nil"/>
                  </w:tcBorders>
                  <w:noWrap w:val="0"/>
                  <w:vAlign w:val="center"/>
                </w:tcPr>
                <w:p w14:paraId="3019D95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C38A60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本项目不属于高耗能高排放项目。项目符合“三线一单”要求。</w:t>
                  </w:r>
                </w:p>
              </w:tc>
              <w:tc>
                <w:tcPr>
                  <w:tcW w:w="873" w:type="dxa"/>
                  <w:tcBorders>
                    <w:tl2br w:val="nil"/>
                    <w:tr2bl w:val="nil"/>
                  </w:tcBorders>
                  <w:noWrap w:val="0"/>
                  <w:vAlign w:val="center"/>
                </w:tcPr>
                <w:p w14:paraId="1D509A6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2409AA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363444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786A06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3CEF69D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（三）深入打好碧水保卫战</w:t>
                  </w:r>
                </w:p>
                <w:p w14:paraId="2FAC5FA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 、持续打好辽河流域综合治理攻坚战。</w:t>
                  </w:r>
                </w:p>
              </w:tc>
              <w:tc>
                <w:tcPr>
                  <w:tcW w:w="2034" w:type="dxa"/>
                  <w:tcBorders>
                    <w:tl2br w:val="nil"/>
                    <w:tr2bl w:val="nil"/>
                  </w:tcBorders>
                  <w:noWrap w:val="0"/>
                  <w:vAlign w:val="center"/>
                </w:tcPr>
                <w:p w14:paraId="3BDA14D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本项目不排放生产废水，生活污水</w:t>
                  </w:r>
                  <w:r>
                    <w:rPr>
                      <w:rFonts w:hint="eastAsia" w:ascii="Times New Roman" w:hAnsi="Times New Roman" w:eastAsia="宋体" w:cs="Times New Roman"/>
                      <w:color w:val="auto"/>
                      <w:kern w:val="2"/>
                      <w:sz w:val="21"/>
                      <w:szCs w:val="21"/>
                      <w:lang w:val="en-US" w:eastAsia="zh-CN" w:bidi="ar-SA"/>
                    </w:rPr>
                    <w:t>经管道排入污水处理厂</w:t>
                  </w:r>
                  <w:r>
                    <w:rPr>
                      <w:rFonts w:hint="default" w:ascii="Times New Roman" w:hAnsi="Times New Roman" w:eastAsia="宋体" w:cs="Times New Roman"/>
                      <w:color w:val="auto"/>
                      <w:kern w:val="2"/>
                      <w:sz w:val="21"/>
                      <w:szCs w:val="21"/>
                      <w:lang w:val="en-US" w:eastAsia="zh-CN" w:bidi="ar-SA"/>
                    </w:rPr>
                    <w:t>。</w:t>
                  </w:r>
                </w:p>
              </w:tc>
              <w:tc>
                <w:tcPr>
                  <w:tcW w:w="873" w:type="dxa"/>
                  <w:tcBorders>
                    <w:tl2br w:val="nil"/>
                    <w:tr2bl w:val="nil"/>
                  </w:tcBorders>
                  <w:noWrap w:val="0"/>
                  <w:vAlign w:val="center"/>
                </w:tcPr>
                <w:p w14:paraId="5B8FA23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60AFDF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14FED5F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C041E0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（四）深入打好净土保卫战：</w:t>
                  </w:r>
                </w:p>
                <w:p w14:paraId="5AE7B82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4、稳步推进“无废城市”建设。健全“无废城市” 建设制度、技术、市场、监管体系，推进城市固体废物精细化管理。推进沈阳、大连和盘锦市开展“无废城市”建设。推进尾矿、煤矸石、粉煤灰、冶炼废渣、工业副产品石膏等固体废物综合利用。</w:t>
                  </w:r>
                </w:p>
              </w:tc>
              <w:tc>
                <w:tcPr>
                  <w:tcW w:w="2034" w:type="dxa"/>
                  <w:tcBorders>
                    <w:tl2br w:val="nil"/>
                    <w:tr2bl w:val="nil"/>
                  </w:tcBorders>
                  <w:noWrap w:val="0"/>
                  <w:vAlign w:val="center"/>
                </w:tcPr>
                <w:p w14:paraId="0510718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本项目一般工业固废玻璃边角料、玻璃渣及废铝条全部收集贮存外售。危险废物废胶桶、废活性炭以及废机油分类收集在危废间暂存，由有资质单位处置。</w:t>
                  </w:r>
                </w:p>
              </w:tc>
              <w:tc>
                <w:tcPr>
                  <w:tcW w:w="873" w:type="dxa"/>
                  <w:tcBorders>
                    <w:tl2br w:val="nil"/>
                    <w:tr2bl w:val="nil"/>
                  </w:tcBorders>
                  <w:noWrap w:val="0"/>
                  <w:vAlign w:val="center"/>
                </w:tcPr>
                <w:p w14:paraId="503146E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C3A888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738B60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05D551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6C74CEC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DD06C3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1CE655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6" w:type="dxa"/>
                  <w:tcBorders>
                    <w:tl2br w:val="nil"/>
                    <w:tr2bl w:val="nil"/>
                  </w:tcBorders>
                  <w:noWrap w:val="0"/>
                  <w:vAlign w:val="center"/>
                </w:tcPr>
                <w:p w14:paraId="5636E98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（六）提高生态环境治理现代化水平：</w:t>
                  </w:r>
                </w:p>
                <w:p w14:paraId="38B80DA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加大生态环境监管执法力度。完善以排污许可制为核心的固定污染源监管体系，保持严厉打击违法犯罪行为的高压态势。强化企业自律，推动从“要我守法”向“我要守法”转变。综合运用环境信用评价、生态环境损害赔偿等手段实施联合惩戒，研究制定环境处罚、生态环境损害赔偿资金使用管理办法。落实监督执法正面清单制度，实施差异化监管。建立健全以污染源自动监控为主的非现场监管执法体系，强化关键工况参数和用水用电等控制参数自动监测。推进生态环境监管执法信息平台建设。统一全省环境行政处 罚自由裁量权。</w:t>
                  </w:r>
                </w:p>
              </w:tc>
              <w:tc>
                <w:tcPr>
                  <w:tcW w:w="2034" w:type="dxa"/>
                  <w:tcBorders>
                    <w:tl2br w:val="nil"/>
                    <w:tr2bl w:val="nil"/>
                  </w:tcBorders>
                  <w:noWrap w:val="0"/>
                  <w:vAlign w:val="center"/>
                </w:tcPr>
                <w:p w14:paraId="39774A2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本项目按照排污许可证要求，制定自行监测方案，项目建成后定期开展监测，并保存监测记录。</w:t>
                  </w:r>
                </w:p>
              </w:tc>
              <w:tc>
                <w:tcPr>
                  <w:tcW w:w="873" w:type="dxa"/>
                  <w:tcBorders>
                    <w:tl2br w:val="nil"/>
                    <w:tr2bl w:val="nil"/>
                  </w:tcBorders>
                  <w:noWrap w:val="0"/>
                  <w:vAlign w:val="center"/>
                </w:tcPr>
                <w:p w14:paraId="4B41A17B">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007A5D8C">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22AB8736">
            <w:pPr>
              <w:pStyle w:val="81"/>
              <w:keepNext w:val="0"/>
              <w:keepLines w:val="0"/>
              <w:pageBreakBefore w:val="0"/>
              <w:widowControl w:val="0"/>
              <w:kinsoku/>
              <w:wordWrap/>
              <w:overflowPunct/>
              <w:topLinePunct w:val="0"/>
              <w:autoSpaceDE/>
              <w:autoSpaceDN/>
              <w:bidi w:val="0"/>
              <w:adjustRightInd w:val="0"/>
              <w:snapToGrid w:val="0"/>
              <w:spacing w:line="344" w:lineRule="auto"/>
              <w:ind w:left="108" w:right="102" w:firstLine="482"/>
              <w:textAlignment w:val="auto"/>
              <w:rPr>
                <w:spacing w:val="-1"/>
                <w:sz w:val="24"/>
                <w:szCs w:val="24"/>
              </w:rPr>
            </w:pPr>
            <w:r>
              <w:rPr>
                <w:spacing w:val="2"/>
                <w:sz w:val="24"/>
                <w:szCs w:val="24"/>
              </w:rPr>
              <w:t>综上所述，本项目符合《辽宁省深入打好污染防治攻坚战实施</w:t>
            </w:r>
            <w:r>
              <w:rPr>
                <w:spacing w:val="-1"/>
                <w:sz w:val="24"/>
                <w:szCs w:val="24"/>
              </w:rPr>
              <w:t>方案》（辽委发</w:t>
            </w:r>
            <w:r>
              <w:rPr>
                <w:rFonts w:ascii="Times New Roman" w:hAnsi="Times New Roman" w:eastAsia="Times New Roman" w:cs="Times New Roman"/>
                <w:spacing w:val="-1"/>
                <w:sz w:val="24"/>
                <w:szCs w:val="24"/>
              </w:rPr>
              <w:t>[2022]8</w:t>
            </w:r>
            <w:r>
              <w:rPr>
                <w:spacing w:val="-1"/>
                <w:sz w:val="24"/>
                <w:szCs w:val="24"/>
              </w:rPr>
              <w:t>号）相关要求。</w:t>
            </w:r>
          </w:p>
          <w:p w14:paraId="4D153A4D">
            <w:pPr>
              <w:pStyle w:val="81"/>
              <w:keepNext w:val="0"/>
              <w:keepLines w:val="0"/>
              <w:pageBreakBefore w:val="0"/>
              <w:widowControl w:val="0"/>
              <w:numPr>
                <w:ilvl w:val="0"/>
                <w:numId w:val="2"/>
              </w:numPr>
              <w:kinsoku/>
              <w:wordWrap/>
              <w:overflowPunct/>
              <w:topLinePunct w:val="0"/>
              <w:autoSpaceDE/>
              <w:autoSpaceDN/>
              <w:bidi w:val="0"/>
              <w:adjustRightInd w:val="0"/>
              <w:snapToGrid w:val="0"/>
              <w:spacing w:line="344" w:lineRule="auto"/>
              <w:ind w:left="0" w:leftChars="0" w:right="102" w:firstLine="0" w:firstLineChars="0"/>
              <w:textAlignment w:val="auto"/>
              <w:rPr>
                <w:rFonts w:hint="default" w:ascii="Times New Roman" w:hAnsi="Times New Roman" w:cs="Times New Roman"/>
                <w:b/>
                <w:bCs/>
                <w:spacing w:val="-4"/>
                <w:sz w:val="24"/>
                <w:szCs w:val="24"/>
              </w:rPr>
            </w:pPr>
            <w:r>
              <w:rPr>
                <w:rFonts w:hint="default" w:ascii="Times New Roman" w:hAnsi="Times New Roman" w:eastAsia="Times New Roman" w:cs="Times New Roman"/>
                <w:b/>
                <w:bCs/>
                <w:spacing w:val="-2"/>
                <w:sz w:val="24"/>
                <w:szCs w:val="24"/>
              </w:rPr>
              <w:t>本项目</w:t>
            </w:r>
            <w:r>
              <w:rPr>
                <w:rFonts w:hint="default" w:ascii="Times New Roman" w:hAnsi="Times New Roman" w:cs="Times New Roman"/>
                <w:b/>
                <w:bCs/>
                <w:spacing w:val="-2"/>
                <w:sz w:val="24"/>
                <w:szCs w:val="24"/>
              </w:rPr>
              <w:t>与《铁岭市环境空气质量达标规划（</w:t>
            </w:r>
            <w:r>
              <w:rPr>
                <w:rFonts w:hint="default" w:ascii="Times New Roman" w:hAnsi="Times New Roman" w:eastAsia="Times New Roman" w:cs="Times New Roman"/>
                <w:b/>
                <w:bCs/>
                <w:spacing w:val="-2"/>
                <w:sz w:val="24"/>
                <w:szCs w:val="24"/>
              </w:rPr>
              <w:t>2019-2025</w:t>
            </w:r>
            <w:r>
              <w:rPr>
                <w:rFonts w:hint="default" w:ascii="Times New Roman" w:hAnsi="Times New Roman" w:cs="Times New Roman"/>
                <w:b/>
                <w:bCs/>
                <w:spacing w:val="-3"/>
                <w:sz w:val="24"/>
                <w:szCs w:val="24"/>
              </w:rPr>
              <w:t>）》</w:t>
            </w:r>
            <w:r>
              <w:rPr>
                <w:rFonts w:hint="default" w:ascii="Times New Roman" w:hAnsi="Times New Roman" w:cs="Times New Roman"/>
                <w:b/>
                <w:bCs/>
                <w:spacing w:val="-4"/>
                <w:sz w:val="24"/>
                <w:szCs w:val="24"/>
              </w:rPr>
              <w:t>相符性分析</w:t>
            </w:r>
          </w:p>
          <w:p w14:paraId="21EC4E54">
            <w:pPr>
              <w:pStyle w:val="81"/>
              <w:keepNext w:val="0"/>
              <w:keepLines w:val="0"/>
              <w:pageBreakBefore w:val="0"/>
              <w:widowControl w:val="0"/>
              <w:kinsoku/>
              <w:wordWrap/>
              <w:overflowPunct/>
              <w:topLinePunct w:val="0"/>
              <w:autoSpaceDE/>
              <w:autoSpaceDN/>
              <w:bidi w:val="0"/>
              <w:adjustRightInd w:val="0"/>
              <w:snapToGrid w:val="0"/>
              <w:spacing w:line="344" w:lineRule="auto"/>
              <w:ind w:left="108" w:right="102" w:firstLine="482"/>
              <w:textAlignment w:val="auto"/>
              <w:rPr>
                <w:rFonts w:hint="default" w:ascii="Times New Roman" w:hAnsi="Times New Roman" w:cs="Times New Roman"/>
                <w:spacing w:val="2"/>
                <w:sz w:val="24"/>
                <w:szCs w:val="24"/>
                <w:lang w:val="en-US" w:eastAsia="zh-CN"/>
              </w:rPr>
            </w:pPr>
            <w:r>
              <w:rPr>
                <w:rFonts w:hint="default" w:ascii="Times New Roman" w:hAnsi="Times New Roman" w:cs="Times New Roman"/>
                <w:spacing w:val="2"/>
                <w:sz w:val="24"/>
                <w:szCs w:val="24"/>
              </w:rPr>
              <w:t>本项目与《铁岭市环境空气质量达标规划（2019-2025）》相符性分析</w:t>
            </w:r>
            <w:r>
              <w:rPr>
                <w:rFonts w:hint="default" w:ascii="Times New Roman" w:hAnsi="Times New Roman" w:cs="Times New Roman"/>
                <w:spacing w:val="2"/>
                <w:sz w:val="24"/>
                <w:szCs w:val="24"/>
                <w:lang w:eastAsia="zh-CN"/>
              </w:rPr>
              <w:t>见表</w:t>
            </w:r>
            <w:r>
              <w:rPr>
                <w:rFonts w:hint="default" w:ascii="Times New Roman" w:hAnsi="Times New Roman" w:cs="Times New Roman"/>
                <w:spacing w:val="2"/>
                <w:sz w:val="24"/>
                <w:szCs w:val="24"/>
                <w:lang w:val="en-US" w:eastAsia="zh-CN"/>
              </w:rPr>
              <w:t>1-16。</w:t>
            </w:r>
          </w:p>
          <w:p w14:paraId="213EB5A2">
            <w:pPr>
              <w:pStyle w:val="28"/>
              <w:keepNext/>
              <w:keepLines/>
              <w:pageBreakBefore w:val="0"/>
              <w:widowControl w:val="0"/>
              <w:numPr>
                <w:ilvl w:val="0"/>
                <w:numId w:val="0"/>
              </w:numPr>
              <w:kinsoku/>
              <w:wordWrap/>
              <w:overflowPunct/>
              <w:topLinePunct w:val="0"/>
              <w:autoSpaceDE w:val="0"/>
              <w:autoSpaceDN w:val="0"/>
              <w:bidi w:val="0"/>
              <w:adjustRightInd w:val="0"/>
              <w:snapToGrid w:val="0"/>
              <w:spacing w:before="0" w:beforeLines="0" w:after="0" w:afterLines="0" w:line="240" w:lineRule="auto"/>
              <w:jc w:val="center"/>
              <w:textAlignment w:val="baseline"/>
              <w:rPr>
                <w:rFonts w:hint="default" w:ascii="Times New Roman" w:hAnsi="Times New Roman" w:eastAsia="宋体" w:cs="Times New Roman"/>
                <w:b/>
                <w:bCs/>
                <w:spacing w:val="7"/>
                <w:sz w:val="21"/>
                <w:szCs w:val="21"/>
              </w:rPr>
            </w:pPr>
            <w:r>
              <w:rPr>
                <w:rFonts w:hint="default" w:ascii="Times New Roman" w:hAnsi="Times New Roman" w:eastAsia="宋体" w:cs="Times New Roman"/>
                <w:b/>
                <w:bCs/>
                <w:spacing w:val="7"/>
                <w:sz w:val="21"/>
                <w:szCs w:val="21"/>
              </w:rPr>
              <w:t>表 1-</w:t>
            </w:r>
            <w:r>
              <w:rPr>
                <w:rFonts w:hint="eastAsia" w:ascii="Times New Roman" w:hAnsi="Times New Roman" w:eastAsia="宋体" w:cs="Times New Roman"/>
                <w:b/>
                <w:bCs/>
                <w:spacing w:val="7"/>
                <w:sz w:val="21"/>
                <w:szCs w:val="21"/>
                <w:lang w:val="en-US" w:eastAsia="zh-CN"/>
              </w:rPr>
              <w:t>16</w:t>
            </w:r>
            <w:r>
              <w:rPr>
                <w:rFonts w:hint="default" w:ascii="Times New Roman" w:hAnsi="Times New Roman" w:eastAsia="宋体" w:cs="Times New Roman"/>
                <w:b/>
                <w:bCs/>
                <w:spacing w:val="7"/>
                <w:sz w:val="21"/>
                <w:szCs w:val="21"/>
              </w:rPr>
              <w:t xml:space="preserve">  本项目与《铁岭市环境空气质量达标规划（2019-2025）》相符性分析一览表</w:t>
            </w:r>
          </w:p>
          <w:tbl>
            <w:tblPr>
              <w:tblStyle w:val="20"/>
              <w:tblW w:w="79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019"/>
              <w:gridCol w:w="2306"/>
              <w:gridCol w:w="857"/>
            </w:tblGrid>
            <w:tr w14:paraId="797306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47D25AC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重点任务</w:t>
                  </w:r>
                  <w:r>
                    <w:rPr>
                      <w:rFonts w:hint="eastAsia" w:ascii="Times New Roman" w:hAnsi="Times New Roman" w:cs="Times New Roman"/>
                      <w:color w:val="auto"/>
                      <w:kern w:val="2"/>
                      <w:sz w:val="21"/>
                      <w:szCs w:val="21"/>
                      <w:lang w:val="en-US" w:eastAsia="zh-CN" w:bidi="ar-SA"/>
                    </w:rPr>
                    <w:t>（节选）</w:t>
                  </w:r>
                </w:p>
              </w:tc>
              <w:tc>
                <w:tcPr>
                  <w:tcW w:w="3019" w:type="dxa"/>
                  <w:tcBorders>
                    <w:tl2br w:val="nil"/>
                    <w:tr2bl w:val="nil"/>
                  </w:tcBorders>
                  <w:noWrap w:val="0"/>
                  <w:vAlign w:val="center"/>
                </w:tcPr>
                <w:p w14:paraId="49DB834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具体项目</w:t>
                  </w:r>
                  <w:r>
                    <w:rPr>
                      <w:rFonts w:hint="eastAsia" w:ascii="Times New Roman" w:hAnsi="Times New Roman" w:cs="Times New Roman"/>
                      <w:color w:val="auto"/>
                      <w:kern w:val="2"/>
                      <w:sz w:val="21"/>
                      <w:szCs w:val="21"/>
                      <w:lang w:val="en-US" w:eastAsia="zh-CN" w:bidi="ar-SA"/>
                    </w:rPr>
                    <w:t>（节选）</w:t>
                  </w:r>
                </w:p>
              </w:tc>
              <w:tc>
                <w:tcPr>
                  <w:tcW w:w="2306" w:type="dxa"/>
                  <w:tcBorders>
                    <w:tl2br w:val="nil"/>
                    <w:tr2bl w:val="nil"/>
                  </w:tcBorders>
                  <w:noWrap w:val="0"/>
                  <w:vAlign w:val="center"/>
                </w:tcPr>
                <w:p w14:paraId="38A331B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本项目情况</w:t>
                  </w:r>
                </w:p>
              </w:tc>
              <w:tc>
                <w:tcPr>
                  <w:tcW w:w="857" w:type="dxa"/>
                  <w:tcBorders>
                    <w:tl2br w:val="nil"/>
                    <w:tr2bl w:val="nil"/>
                  </w:tcBorders>
                  <w:noWrap w:val="0"/>
                  <w:vAlign w:val="center"/>
                </w:tcPr>
                <w:p w14:paraId="0707E19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相符性</w:t>
                  </w:r>
                </w:p>
              </w:tc>
            </w:tr>
            <w:tr w14:paraId="5EF84F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630A1D9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560294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调整产业结构提高能源利用率</w:t>
                  </w:r>
                </w:p>
              </w:tc>
              <w:tc>
                <w:tcPr>
                  <w:tcW w:w="3019" w:type="dxa"/>
                  <w:tcBorders>
                    <w:tl2br w:val="nil"/>
                    <w:tr2bl w:val="nil"/>
                  </w:tcBorders>
                  <w:noWrap w:val="0"/>
                  <w:vAlign w:val="center"/>
                </w:tcPr>
                <w:p w14:paraId="237FF32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推进清洁取暖；抓好天然气产 供销体系建设；加快农村电网 升级改造；加快发展清洁能源 和新能源；优化产业布局；提高能源利用效率。</w:t>
                  </w:r>
                </w:p>
              </w:tc>
              <w:tc>
                <w:tcPr>
                  <w:tcW w:w="2306" w:type="dxa"/>
                  <w:tcBorders>
                    <w:tl2br w:val="nil"/>
                    <w:tr2bl w:val="nil"/>
                  </w:tcBorders>
                  <w:noWrap w:val="0"/>
                  <w:vAlign w:val="center"/>
                </w:tcPr>
                <w:p w14:paraId="7C27644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本项目</w:t>
                  </w:r>
                  <w:r>
                    <w:rPr>
                      <w:rFonts w:hint="eastAsia" w:ascii="Times New Roman" w:hAnsi="Times New Roman" w:eastAsia="宋体" w:cs="Times New Roman"/>
                      <w:color w:val="auto"/>
                      <w:kern w:val="2"/>
                      <w:sz w:val="21"/>
                      <w:szCs w:val="21"/>
                      <w:lang w:val="en-US" w:eastAsia="zh-CN" w:bidi="ar-SA"/>
                    </w:rPr>
                    <w:t>生活采用电取暖，生产车间不需取暖</w:t>
                  </w:r>
                </w:p>
              </w:tc>
              <w:tc>
                <w:tcPr>
                  <w:tcW w:w="857" w:type="dxa"/>
                  <w:tcBorders>
                    <w:tl2br w:val="nil"/>
                    <w:tr2bl w:val="nil"/>
                  </w:tcBorders>
                  <w:noWrap w:val="0"/>
                  <w:vAlign w:val="center"/>
                </w:tcPr>
                <w:p w14:paraId="663F14B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70E49A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78E06CAD">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实施燃煤污染治理</w:t>
                  </w:r>
                </w:p>
              </w:tc>
              <w:tc>
                <w:tcPr>
                  <w:tcW w:w="3019" w:type="dxa"/>
                  <w:tcBorders>
                    <w:tl2br w:val="nil"/>
                    <w:tr2bl w:val="nil"/>
                  </w:tcBorders>
                  <w:noWrap w:val="0"/>
                  <w:vAlign w:val="center"/>
                </w:tcPr>
                <w:p w14:paraId="282DB91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控制煤炭消费总量；深入实施燃煤锅炉治理；加快替代散烧煤供暖。</w:t>
                  </w:r>
                </w:p>
              </w:tc>
              <w:tc>
                <w:tcPr>
                  <w:tcW w:w="2306" w:type="dxa"/>
                  <w:tcBorders>
                    <w:tl2br w:val="nil"/>
                    <w:tr2bl w:val="nil"/>
                  </w:tcBorders>
                  <w:noWrap w:val="0"/>
                  <w:vAlign w:val="center"/>
                </w:tcPr>
                <w:p w14:paraId="7BE37E1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项目不涉及燃煤锅 炉。</w:t>
                  </w:r>
                </w:p>
              </w:tc>
              <w:tc>
                <w:tcPr>
                  <w:tcW w:w="857" w:type="dxa"/>
                  <w:tcBorders>
                    <w:tl2br w:val="nil"/>
                    <w:tr2bl w:val="nil"/>
                  </w:tcBorders>
                  <w:noWrap w:val="0"/>
                  <w:vAlign w:val="center"/>
                </w:tcPr>
                <w:p w14:paraId="749DFC13">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2CAB15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3C930ED4">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2BE193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17DCDD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17AD1A72">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深入推进工业污染治理</w:t>
                  </w:r>
                </w:p>
              </w:tc>
              <w:tc>
                <w:tcPr>
                  <w:tcW w:w="3019" w:type="dxa"/>
                  <w:tcBorders>
                    <w:tl2br w:val="nil"/>
                    <w:tr2bl w:val="nil"/>
                  </w:tcBorders>
                  <w:noWrap w:val="0"/>
                  <w:vAlign w:val="center"/>
                </w:tcPr>
                <w:p w14:paraId="6B76CA1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严控“两高”行业产能；深入开展“散乱污”企业整治；推进工业污染源全面达标排放；推进重点行业污染治理升级改造；开展园区综合整治；推进实行特别排放限值；开展工业炉窑治理专项行动；强化重点污染源自动监控体系建设；培育绿色环保产业。</w:t>
                  </w:r>
                </w:p>
              </w:tc>
              <w:tc>
                <w:tcPr>
                  <w:tcW w:w="2306" w:type="dxa"/>
                  <w:tcBorders>
                    <w:tl2br w:val="nil"/>
                    <w:tr2bl w:val="nil"/>
                  </w:tcBorders>
                  <w:noWrap w:val="0"/>
                  <w:vAlign w:val="center"/>
                </w:tcPr>
                <w:p w14:paraId="2E9940E9">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7211A335">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项目不属于“两高” 行业，不属于“散乱污”企业，各项污染物实现达标排放。项目位于工业园区，可达标排放。</w:t>
                  </w:r>
                </w:p>
              </w:tc>
              <w:tc>
                <w:tcPr>
                  <w:tcW w:w="857" w:type="dxa"/>
                  <w:tcBorders>
                    <w:tl2br w:val="nil"/>
                    <w:tr2bl w:val="nil"/>
                  </w:tcBorders>
                  <w:noWrap w:val="0"/>
                  <w:vAlign w:val="center"/>
                </w:tcPr>
                <w:p w14:paraId="6FD4FAF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5DB165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5F97C51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B27119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大力发展城市绿色交通</w:t>
                  </w:r>
                </w:p>
              </w:tc>
              <w:tc>
                <w:tcPr>
                  <w:tcW w:w="3019" w:type="dxa"/>
                  <w:tcBorders>
                    <w:tl2br w:val="nil"/>
                    <w:tr2bl w:val="nil"/>
                  </w:tcBorders>
                  <w:noWrap w:val="0"/>
                  <w:vAlign w:val="center"/>
                </w:tcPr>
                <w:p w14:paraId="66E4F2B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改善货运结构；完善城市交通服务体系；加强油品质量管理；加强移动源污染防治；加强非道路移动机械污染防治；实施超标排放车辆治理工程。</w:t>
                  </w:r>
                </w:p>
              </w:tc>
              <w:tc>
                <w:tcPr>
                  <w:tcW w:w="2306" w:type="dxa"/>
                  <w:tcBorders>
                    <w:tl2br w:val="nil"/>
                    <w:tr2bl w:val="nil"/>
                  </w:tcBorders>
                  <w:noWrap w:val="0"/>
                  <w:vAlign w:val="center"/>
                </w:tcPr>
                <w:p w14:paraId="5897B63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项目使用的运输车辆使用合格的汽油、柴油，不使用超标车辆。</w:t>
                  </w:r>
                </w:p>
              </w:tc>
              <w:tc>
                <w:tcPr>
                  <w:tcW w:w="857" w:type="dxa"/>
                  <w:tcBorders>
                    <w:tl2br w:val="nil"/>
                    <w:tr2bl w:val="nil"/>
                  </w:tcBorders>
                  <w:noWrap w:val="0"/>
                  <w:vAlign w:val="center"/>
                </w:tcPr>
                <w:p w14:paraId="170AB4F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500638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0795C25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积极有效应对重污染天气</w:t>
                  </w:r>
                </w:p>
              </w:tc>
              <w:tc>
                <w:tcPr>
                  <w:tcW w:w="3019" w:type="dxa"/>
                  <w:tcBorders>
                    <w:tl2br w:val="nil"/>
                    <w:tr2bl w:val="nil"/>
                  </w:tcBorders>
                  <w:noWrap w:val="0"/>
                  <w:vAlign w:val="center"/>
                </w:tcPr>
                <w:p w14:paraId="3218EEB8">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夯实应急减排措施；实施大气污染联防联控。</w:t>
                  </w:r>
                </w:p>
              </w:tc>
              <w:tc>
                <w:tcPr>
                  <w:tcW w:w="2306" w:type="dxa"/>
                  <w:tcBorders>
                    <w:tl2br w:val="nil"/>
                    <w:tr2bl w:val="nil"/>
                  </w:tcBorders>
                  <w:noWrap w:val="0"/>
                  <w:vAlign w:val="center"/>
                </w:tcPr>
                <w:p w14:paraId="70296E60">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项目实施大气污染联防联控。</w:t>
                  </w:r>
                </w:p>
              </w:tc>
              <w:tc>
                <w:tcPr>
                  <w:tcW w:w="857" w:type="dxa"/>
                  <w:tcBorders>
                    <w:tl2br w:val="nil"/>
                    <w:tr2bl w:val="nil"/>
                  </w:tcBorders>
                  <w:noWrap w:val="0"/>
                  <w:vAlign w:val="center"/>
                </w:tcPr>
                <w:p w14:paraId="04F6BCB1">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r w14:paraId="607341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31" w:type="dxa"/>
                  <w:tcBorders>
                    <w:tl2br w:val="nil"/>
                    <w:tr2bl w:val="nil"/>
                  </w:tcBorders>
                  <w:noWrap w:val="0"/>
                  <w:vAlign w:val="center"/>
                </w:tcPr>
                <w:p w14:paraId="7C9A829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p>
                <w:p w14:paraId="42D84DEE">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大力整治挥发性有机物（VOCs）污染</w:t>
                  </w:r>
                </w:p>
              </w:tc>
              <w:tc>
                <w:tcPr>
                  <w:tcW w:w="3019" w:type="dxa"/>
                  <w:tcBorders>
                    <w:tl2br w:val="nil"/>
                    <w:tr2bl w:val="nil"/>
                  </w:tcBorders>
                  <w:noWrap w:val="0"/>
                  <w:vAlign w:val="center"/>
                </w:tcPr>
                <w:p w14:paraId="207216CA">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深化工业挥发性有机物(VOCs) 治理；强化居民生活、餐饮业油烟污染排放治理；强化汽修行业污染排放治理；开展生活垃圾收集站和城市污水处理厂恶臭治理。</w:t>
                  </w:r>
                </w:p>
              </w:tc>
              <w:tc>
                <w:tcPr>
                  <w:tcW w:w="2306" w:type="dxa"/>
                  <w:tcBorders>
                    <w:tl2br w:val="nil"/>
                    <w:tr2bl w:val="nil"/>
                  </w:tcBorders>
                  <w:noWrap w:val="0"/>
                  <w:vAlign w:val="center"/>
                </w:tcPr>
                <w:p w14:paraId="5616AEF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本项目在调胶、涂胶、封胶过程中产生的有机废气，通过设置集气罩收集，经二级活性炭吸附装置吸附处理后由15m高排气筒排放，通过以上措施，废气可实现达标排放。</w:t>
                  </w:r>
                  <w:r>
                    <w:rPr>
                      <w:rFonts w:hint="default" w:ascii="Times New Roman" w:hAnsi="Times New Roman" w:eastAsia="宋体" w:cs="Times New Roman"/>
                      <w:color w:val="auto"/>
                      <w:kern w:val="2"/>
                      <w:sz w:val="21"/>
                      <w:szCs w:val="21"/>
                      <w:lang w:val="en-US" w:eastAsia="zh-CN" w:bidi="ar-SA"/>
                    </w:rPr>
                    <w:t>本项目</w:t>
                  </w:r>
                  <w:r>
                    <w:rPr>
                      <w:rFonts w:hint="eastAsia" w:ascii="Times New Roman" w:hAnsi="Times New Roman" w:eastAsia="宋体" w:cs="Times New Roman"/>
                      <w:color w:val="auto"/>
                      <w:kern w:val="2"/>
                      <w:sz w:val="21"/>
                      <w:szCs w:val="21"/>
                      <w:lang w:val="en-US" w:eastAsia="zh-CN" w:bidi="ar-SA"/>
                    </w:rPr>
                    <w:t>不设置食堂</w:t>
                  </w:r>
                  <w:r>
                    <w:rPr>
                      <w:rFonts w:hint="default" w:ascii="Times New Roman" w:hAnsi="Times New Roman" w:eastAsia="宋体" w:cs="Times New Roman"/>
                      <w:color w:val="auto"/>
                      <w:kern w:val="2"/>
                      <w:sz w:val="21"/>
                      <w:szCs w:val="21"/>
                      <w:lang w:val="en-US" w:eastAsia="zh-CN" w:bidi="ar-SA"/>
                    </w:rPr>
                    <w:t>不涉及。</w:t>
                  </w:r>
                </w:p>
              </w:tc>
              <w:tc>
                <w:tcPr>
                  <w:tcW w:w="857" w:type="dxa"/>
                  <w:tcBorders>
                    <w:tl2br w:val="nil"/>
                    <w:tr2bl w:val="nil"/>
                  </w:tcBorders>
                  <w:noWrap w:val="0"/>
                  <w:vAlign w:val="center"/>
                </w:tcPr>
                <w:p w14:paraId="5C8E9407">
                  <w:pPr>
                    <w:pStyle w:val="81"/>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符合</w:t>
                  </w:r>
                </w:p>
              </w:tc>
            </w:tr>
          </w:tbl>
          <w:p w14:paraId="38B73A3B">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pacing w:val="-1"/>
                <w:kern w:val="2"/>
                <w:sz w:val="24"/>
                <w:szCs w:val="24"/>
                <w:lang w:val="en-US" w:eastAsia="en-US" w:bidi="ar-SA"/>
              </w:rPr>
            </w:pPr>
            <w:r>
              <w:rPr>
                <w:rFonts w:hint="default" w:ascii="Times New Roman" w:hAnsi="Times New Roman" w:eastAsia="宋体" w:cs="Times New Roman"/>
                <w:spacing w:val="-1"/>
                <w:kern w:val="2"/>
                <w:sz w:val="24"/>
                <w:szCs w:val="24"/>
                <w:lang w:val="en-US" w:eastAsia="en-US" w:bidi="ar-SA"/>
              </w:rPr>
              <w:t>综上所述 ，本项目符合《铁岭市环境空气质量达标规划（2019-2025）》相关要求。</w:t>
            </w:r>
          </w:p>
          <w:p w14:paraId="4BE4FF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lang w:val="en-US" w:eastAsia="zh-CN"/>
              </w:rPr>
            </w:pPr>
            <w:r>
              <w:rPr>
                <w:rFonts w:hint="eastAsia" w:ascii="Times New Roman" w:hAnsi="Times New Roman" w:eastAsia="宋体" w:cs="Times New Roman"/>
                <w:b/>
                <w:bCs/>
                <w:spacing w:val="-2"/>
                <w:kern w:val="2"/>
                <w:sz w:val="24"/>
                <w:szCs w:val="24"/>
                <w:lang w:val="en-US" w:eastAsia="zh-CN" w:bidi="ar-SA"/>
              </w:rPr>
              <w:t>15、本项目与</w:t>
            </w:r>
            <w:r>
              <w:rPr>
                <w:rFonts w:hint="eastAsia" w:ascii="Times New Roman" w:hAnsi="Times New Roman" w:eastAsia="宋体" w:cs="Times New Roman"/>
                <w:b/>
                <w:bCs/>
                <w:spacing w:val="-2"/>
                <w:kern w:val="2"/>
                <w:sz w:val="24"/>
                <w:szCs w:val="24"/>
                <w:lang w:val="en-US" w:eastAsia="en-US" w:bidi="ar-SA"/>
              </w:rPr>
              <w:t>《辽宁省空气质量持续改善行动实施方案》</w:t>
            </w:r>
            <w:r>
              <w:rPr>
                <w:rFonts w:hint="eastAsia" w:ascii="Times New Roman" w:hAnsi="Times New Roman" w:eastAsia="宋体" w:cs="Times New Roman"/>
                <w:b/>
                <w:bCs/>
                <w:spacing w:val="-2"/>
                <w:kern w:val="2"/>
                <w:sz w:val="24"/>
                <w:szCs w:val="24"/>
                <w:lang w:val="en-US" w:eastAsia="zh-CN" w:bidi="ar-SA"/>
              </w:rPr>
              <w:t>（</w:t>
            </w:r>
            <w:r>
              <w:rPr>
                <w:rFonts w:hint="eastAsia" w:ascii="Times New Roman" w:hAnsi="Times New Roman" w:eastAsia="宋体" w:cs="Times New Roman"/>
                <w:b/>
                <w:bCs/>
                <w:spacing w:val="-2"/>
                <w:kern w:val="2"/>
                <w:sz w:val="24"/>
                <w:szCs w:val="24"/>
                <w:lang w:val="en-US" w:eastAsia="en-US" w:bidi="ar-SA"/>
              </w:rPr>
              <w:t>辽</w:t>
            </w:r>
            <w:r>
              <w:rPr>
                <w:rFonts w:hint="default" w:ascii="Times New Roman" w:hAnsi="Times New Roman" w:eastAsia="宋体" w:cs="Times New Roman"/>
                <w:b/>
                <w:bCs/>
                <w:spacing w:val="-2"/>
                <w:kern w:val="2"/>
                <w:sz w:val="24"/>
                <w:szCs w:val="24"/>
                <w:lang w:val="en-US" w:eastAsia="en-US" w:bidi="ar-SA"/>
              </w:rPr>
              <w:t>政发〔2024〕11号</w:t>
            </w:r>
            <w:r>
              <w:rPr>
                <w:rFonts w:hint="default" w:ascii="Times New Roman" w:hAnsi="Times New Roman" w:eastAsia="宋体" w:cs="Times New Roman"/>
                <w:b/>
                <w:bCs/>
                <w:spacing w:val="-2"/>
                <w:kern w:val="2"/>
                <w:sz w:val="24"/>
                <w:szCs w:val="24"/>
                <w:lang w:val="en-US" w:eastAsia="zh-CN" w:bidi="ar-SA"/>
              </w:rPr>
              <w:t>）</w:t>
            </w:r>
            <w:r>
              <w:rPr>
                <w:rFonts w:hint="eastAsia" w:ascii="Times New Roman" w:hAnsi="Times New Roman" w:eastAsia="宋体" w:cs="Times New Roman"/>
                <w:b/>
                <w:bCs/>
                <w:spacing w:val="-2"/>
                <w:kern w:val="2"/>
                <w:sz w:val="24"/>
                <w:szCs w:val="24"/>
                <w:lang w:val="en-US" w:eastAsia="zh-CN" w:bidi="ar-SA"/>
              </w:rPr>
              <w:t>相符性分析</w:t>
            </w:r>
          </w:p>
          <w:p w14:paraId="03B80990">
            <w:pPr>
              <w:pStyle w:val="3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spacing w:val="-1"/>
                <w:kern w:val="2"/>
                <w:sz w:val="24"/>
                <w:szCs w:val="24"/>
                <w:lang w:val="en-US" w:eastAsia="zh-CN" w:bidi="ar-SA"/>
              </w:rPr>
            </w:pPr>
            <w:r>
              <w:rPr>
                <w:rFonts w:hint="eastAsia" w:ascii="Times New Roman" w:hAnsi="Times New Roman" w:eastAsia="宋体" w:cs="Times New Roman"/>
                <w:spacing w:val="-1"/>
                <w:kern w:val="2"/>
                <w:sz w:val="24"/>
                <w:szCs w:val="24"/>
                <w:lang w:val="en-US" w:eastAsia="zh-CN" w:bidi="ar-SA"/>
              </w:rPr>
              <w:t>本项目与</w:t>
            </w:r>
            <w:r>
              <w:rPr>
                <w:rFonts w:hint="eastAsia" w:ascii="Times New Roman" w:hAnsi="Times New Roman" w:eastAsia="宋体" w:cs="Times New Roman"/>
                <w:spacing w:val="-1"/>
                <w:kern w:val="2"/>
                <w:sz w:val="24"/>
                <w:szCs w:val="24"/>
                <w:lang w:val="en-US" w:eastAsia="en-US" w:bidi="ar-SA"/>
              </w:rPr>
              <w:t>《辽宁省空气质量持续改善行动实施方案》</w:t>
            </w:r>
            <w:r>
              <w:rPr>
                <w:rFonts w:hint="eastAsia" w:ascii="Times New Roman" w:hAnsi="Times New Roman" w:eastAsia="宋体" w:cs="Times New Roman"/>
                <w:spacing w:val="-1"/>
                <w:kern w:val="2"/>
                <w:sz w:val="24"/>
                <w:szCs w:val="24"/>
                <w:lang w:val="en-US" w:eastAsia="zh-CN" w:bidi="ar-SA"/>
              </w:rPr>
              <w:t>（</w:t>
            </w:r>
            <w:r>
              <w:rPr>
                <w:rFonts w:hint="eastAsia" w:ascii="Times New Roman" w:hAnsi="Times New Roman" w:eastAsia="宋体" w:cs="Times New Roman"/>
                <w:spacing w:val="-1"/>
                <w:kern w:val="2"/>
                <w:sz w:val="24"/>
                <w:szCs w:val="24"/>
                <w:lang w:val="en-US" w:eastAsia="en-US" w:bidi="ar-SA"/>
              </w:rPr>
              <w:t>辽</w:t>
            </w:r>
            <w:r>
              <w:rPr>
                <w:rFonts w:hint="default" w:ascii="Times New Roman" w:hAnsi="Times New Roman" w:eastAsia="宋体" w:cs="Times New Roman"/>
                <w:spacing w:val="-1"/>
                <w:kern w:val="2"/>
                <w:sz w:val="24"/>
                <w:szCs w:val="24"/>
                <w:lang w:val="en-US" w:eastAsia="en-US" w:bidi="ar-SA"/>
              </w:rPr>
              <w:t>政发〔2024〕11号</w:t>
            </w:r>
            <w:r>
              <w:rPr>
                <w:rFonts w:hint="default" w:ascii="Times New Roman" w:hAnsi="Times New Roman" w:eastAsia="宋体" w:cs="Times New Roman"/>
                <w:spacing w:val="-1"/>
                <w:kern w:val="2"/>
                <w:sz w:val="24"/>
                <w:szCs w:val="24"/>
                <w:lang w:val="en-US" w:eastAsia="zh-CN" w:bidi="ar-SA"/>
              </w:rPr>
              <w:t>）</w:t>
            </w:r>
            <w:r>
              <w:rPr>
                <w:rFonts w:hint="eastAsia" w:ascii="Times New Roman" w:hAnsi="Times New Roman" w:eastAsia="宋体" w:cs="Times New Roman"/>
                <w:spacing w:val="-1"/>
                <w:kern w:val="2"/>
                <w:sz w:val="24"/>
                <w:szCs w:val="24"/>
                <w:lang w:val="en-US" w:eastAsia="zh-CN" w:bidi="ar-SA"/>
              </w:rPr>
              <w:t>相符性分析见表1-17。</w:t>
            </w:r>
          </w:p>
          <w:p w14:paraId="4AEE083D">
            <w:pPr>
              <w:jc w:val="center"/>
              <w:rPr>
                <w:rFonts w:hint="eastAsia" w:ascii="Times New Roman" w:hAnsi="Times New Roman" w:eastAsia="宋体" w:cs="Times New Roman"/>
                <w:b/>
                <w:bCs/>
                <w:color w:val="000000"/>
                <w:spacing w:val="7"/>
                <w:kern w:val="0"/>
                <w:sz w:val="21"/>
                <w:szCs w:val="21"/>
                <w:lang w:val="en-US" w:eastAsia="zh-CN" w:bidi="ar-SA"/>
              </w:rPr>
            </w:pPr>
            <w:r>
              <w:rPr>
                <w:rFonts w:hint="eastAsia" w:ascii="Times New Roman" w:hAnsi="Times New Roman" w:eastAsia="宋体" w:cs="Times New Roman"/>
                <w:b/>
                <w:bCs/>
                <w:color w:val="000000"/>
                <w:spacing w:val="7"/>
                <w:kern w:val="0"/>
                <w:sz w:val="21"/>
                <w:szCs w:val="21"/>
                <w:lang w:val="en-US" w:eastAsia="zh-CN" w:bidi="ar-SA"/>
              </w:rPr>
              <w:t>表1-17  本项目与</w:t>
            </w:r>
            <w:r>
              <w:rPr>
                <w:rFonts w:hint="eastAsia" w:cs="Times New Roman"/>
                <w:b/>
                <w:bCs/>
                <w:color w:val="000000"/>
                <w:spacing w:val="7"/>
                <w:kern w:val="0"/>
                <w:sz w:val="21"/>
                <w:szCs w:val="21"/>
                <w:lang w:val="en-US" w:eastAsia="zh-CN" w:bidi="ar-SA"/>
              </w:rPr>
              <w:t>《</w:t>
            </w:r>
            <w:r>
              <w:rPr>
                <w:rFonts w:hint="eastAsia" w:ascii="Times New Roman" w:hAnsi="Times New Roman" w:eastAsia="宋体" w:cs="Times New Roman"/>
                <w:b/>
                <w:bCs/>
                <w:color w:val="000000"/>
                <w:spacing w:val="7"/>
                <w:kern w:val="0"/>
                <w:sz w:val="21"/>
                <w:szCs w:val="21"/>
                <w:lang w:val="en-US" w:eastAsia="en-US" w:bidi="ar-SA"/>
              </w:rPr>
              <w:t>辽宁省空气质量持续改善行动实施方案》</w:t>
            </w:r>
            <w:r>
              <w:rPr>
                <w:rFonts w:hint="eastAsia" w:ascii="Times New Roman" w:hAnsi="Times New Roman" w:eastAsia="宋体" w:cs="Times New Roman"/>
                <w:b/>
                <w:bCs/>
                <w:color w:val="000000"/>
                <w:spacing w:val="7"/>
                <w:kern w:val="0"/>
                <w:sz w:val="21"/>
                <w:szCs w:val="21"/>
                <w:lang w:val="en-US" w:eastAsia="zh-CN" w:bidi="ar-SA"/>
              </w:rPr>
              <w:t>（</w:t>
            </w:r>
            <w:r>
              <w:rPr>
                <w:rFonts w:hint="eastAsia" w:ascii="Times New Roman" w:hAnsi="Times New Roman" w:eastAsia="宋体" w:cs="Times New Roman"/>
                <w:b/>
                <w:bCs/>
                <w:color w:val="000000"/>
                <w:spacing w:val="7"/>
                <w:kern w:val="0"/>
                <w:sz w:val="21"/>
                <w:szCs w:val="21"/>
                <w:lang w:val="en-US" w:eastAsia="en-US" w:bidi="ar-SA"/>
              </w:rPr>
              <w:t>辽</w:t>
            </w:r>
            <w:r>
              <w:rPr>
                <w:rFonts w:hint="default" w:ascii="Times New Roman" w:hAnsi="Times New Roman" w:eastAsia="宋体" w:cs="Times New Roman"/>
                <w:b/>
                <w:bCs/>
                <w:color w:val="000000"/>
                <w:spacing w:val="7"/>
                <w:kern w:val="0"/>
                <w:sz w:val="21"/>
                <w:szCs w:val="21"/>
                <w:lang w:val="en-US" w:eastAsia="en-US" w:bidi="ar-SA"/>
              </w:rPr>
              <w:t>政发〔2024〕11号</w:t>
            </w:r>
            <w:r>
              <w:rPr>
                <w:rFonts w:hint="default" w:ascii="Times New Roman" w:hAnsi="Times New Roman" w:eastAsia="宋体" w:cs="Times New Roman"/>
                <w:b/>
                <w:bCs/>
                <w:color w:val="000000"/>
                <w:spacing w:val="7"/>
                <w:kern w:val="0"/>
                <w:sz w:val="21"/>
                <w:szCs w:val="21"/>
                <w:lang w:val="en-US" w:eastAsia="zh-CN" w:bidi="ar-SA"/>
              </w:rPr>
              <w:t>）</w:t>
            </w:r>
            <w:r>
              <w:rPr>
                <w:rFonts w:hint="eastAsia" w:ascii="Times New Roman" w:hAnsi="Times New Roman" w:eastAsia="宋体" w:cs="Times New Roman"/>
                <w:b/>
                <w:bCs/>
                <w:color w:val="000000"/>
                <w:spacing w:val="7"/>
                <w:kern w:val="0"/>
                <w:sz w:val="21"/>
                <w:szCs w:val="21"/>
                <w:lang w:val="en-US" w:eastAsia="zh-CN" w:bidi="ar-SA"/>
              </w:rPr>
              <w:t>相符性分析</w:t>
            </w:r>
          </w:p>
          <w:tbl>
            <w:tblPr>
              <w:tblStyle w:val="19"/>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2419"/>
              <w:gridCol w:w="848"/>
            </w:tblGrid>
            <w:tr w14:paraId="3B50E6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34" w:type="pct"/>
                  <w:noWrap w:val="0"/>
                  <w:vAlign w:val="center"/>
                </w:tcPr>
                <w:p w14:paraId="709248E5">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相关内容</w:t>
                  </w:r>
                  <w:r>
                    <w:rPr>
                      <w:rFonts w:hint="default" w:ascii="Times New Roman" w:hAnsi="Times New Roman" w:cs="Times New Roman"/>
                      <w:color w:val="auto"/>
                      <w:kern w:val="2"/>
                      <w:sz w:val="21"/>
                      <w:szCs w:val="21"/>
                      <w:lang w:val="en-US" w:eastAsia="zh-CN" w:bidi="ar-SA"/>
                    </w:rPr>
                    <w:t>（节选）</w:t>
                  </w:r>
                </w:p>
              </w:tc>
              <w:tc>
                <w:tcPr>
                  <w:tcW w:w="1529" w:type="pct"/>
                  <w:noWrap w:val="0"/>
                  <w:vAlign w:val="center"/>
                </w:tcPr>
                <w:p w14:paraId="48550743">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本项目情况</w:t>
                  </w:r>
                </w:p>
              </w:tc>
              <w:tc>
                <w:tcPr>
                  <w:tcW w:w="536" w:type="pct"/>
                  <w:noWrap w:val="0"/>
                  <w:vAlign w:val="center"/>
                </w:tcPr>
                <w:p w14:paraId="4B431E42">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相符性</w:t>
                  </w:r>
                </w:p>
              </w:tc>
            </w:tr>
            <w:tr w14:paraId="1F4AA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4" w:type="pct"/>
                  <w:noWrap w:val="0"/>
                  <w:vAlign w:val="center"/>
                </w:tcPr>
                <w:p w14:paraId="4DF7D28B">
                  <w:pPr>
                    <w:pStyle w:val="80"/>
                    <w:rPr>
                      <w:rFonts w:hint="default" w:ascii="Times New Roman" w:hAnsi="Times New Roman" w:cs="Times New Roman"/>
                      <w:color w:val="000000"/>
                      <w:sz w:val="21"/>
                      <w:szCs w:val="21"/>
                      <w:highlight w:val="none"/>
                    </w:rPr>
                  </w:pPr>
                  <w:r>
                    <w:rPr>
                      <w:rFonts w:hint="default" w:ascii="Times New Roman" w:hAnsi="Times New Roman" w:eastAsia="宋体" w:cs="Times New Roman"/>
                      <w:i w:val="0"/>
                      <w:iCs w:val="0"/>
                      <w:caps w:val="0"/>
                      <w:color w:val="000000"/>
                      <w:spacing w:val="0"/>
                      <w:sz w:val="21"/>
                      <w:szCs w:val="21"/>
                      <w:shd w:val="clear" w:fill="FFFFFF"/>
                    </w:rPr>
                    <w:t>（六）持续推进清洁取暖。因地制宜整村、整屯推进民用、农用散煤替代。纳入中央财政支持北方地区清洁取暖范围的城市，保质保量完成改造任务。2025年底前基本完成沈阳、鞍山、抚顺、锦州、营口、辽阳、铁岭、盘锦、葫芦岛9个重点城市城区（含城中村、城乡结合部）、县城清洁取暖改造。完成散煤替代的城区、县城及村屯必须保障居民生活和清洁取暖用电、用气需求，防止散煤复烧。严厉打击劣质煤销售，依法全面取缔高污染燃料禁燃区内散煤销售网点。</w:t>
                  </w:r>
                </w:p>
              </w:tc>
              <w:tc>
                <w:tcPr>
                  <w:tcW w:w="1529" w:type="pct"/>
                  <w:noWrap w:val="0"/>
                  <w:vAlign w:val="center"/>
                </w:tcPr>
                <w:p w14:paraId="6F6172F4">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本项目</w:t>
                  </w:r>
                  <w:r>
                    <w:rPr>
                      <w:rFonts w:hint="eastAsia" w:ascii="Times New Roman" w:hAnsi="Times New Roman" w:cs="Times New Roman"/>
                      <w:color w:val="000000"/>
                      <w:sz w:val="21"/>
                      <w:szCs w:val="21"/>
                      <w:highlight w:val="none"/>
                      <w:lang w:eastAsia="zh-CN"/>
                    </w:rPr>
                    <w:t>办公采用取暖，生产车间不需取暖。</w:t>
                  </w:r>
                </w:p>
              </w:tc>
              <w:tc>
                <w:tcPr>
                  <w:tcW w:w="536" w:type="pct"/>
                  <w:noWrap w:val="0"/>
                  <w:vAlign w:val="center"/>
                </w:tcPr>
                <w:p w14:paraId="7CA58076">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14:paraId="524243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34" w:type="pct"/>
                  <w:noWrap w:val="0"/>
                  <w:vAlign w:val="center"/>
                </w:tcPr>
                <w:p w14:paraId="0DF2479B">
                  <w:pPr>
                    <w:pStyle w:val="80"/>
                    <w:bidi w:val="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十一）加强工地和道路扬尘污染治理。持续强化施工场地、工业企业堆场料场和城市道路、裸地扬尘污染治理。将扬尘污染防治费用纳入工程造价。持续推进装配式建筑发展，到2025年，装配式建筑占新建建筑面积比例达到30%。地级及以上城市建成区道路机械化清扫率达到80%左右，县城达到70%左右。</w:t>
                  </w:r>
                </w:p>
              </w:tc>
              <w:tc>
                <w:tcPr>
                  <w:tcW w:w="1529" w:type="pct"/>
                  <w:noWrap w:val="0"/>
                  <w:vAlign w:val="center"/>
                </w:tcPr>
                <w:p w14:paraId="45A1274E">
                  <w:pPr>
                    <w:pStyle w:val="80"/>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rPr>
                    <w:t>本项目</w:t>
                  </w:r>
                  <w:r>
                    <w:rPr>
                      <w:rFonts w:hint="eastAsia" w:ascii="Times New Roman" w:hAnsi="Times New Roman" w:cs="Times New Roman"/>
                      <w:color w:val="000000"/>
                      <w:sz w:val="21"/>
                      <w:szCs w:val="21"/>
                      <w:highlight w:val="none"/>
                      <w:lang w:eastAsia="zh-CN"/>
                    </w:rPr>
                    <w:t>厂内运输道路均采取硬化防尘</w:t>
                  </w:r>
                  <w:r>
                    <w:rPr>
                      <w:rFonts w:hint="default" w:ascii="Times New Roman" w:hAnsi="Times New Roman" w:cs="Times New Roman"/>
                      <w:color w:val="000000"/>
                      <w:sz w:val="21"/>
                      <w:szCs w:val="21"/>
                      <w:highlight w:val="none"/>
                    </w:rPr>
                    <w:t>。</w:t>
                  </w:r>
                </w:p>
              </w:tc>
              <w:tc>
                <w:tcPr>
                  <w:tcW w:w="536" w:type="pct"/>
                  <w:noWrap w:val="0"/>
                  <w:vAlign w:val="center"/>
                </w:tcPr>
                <w:p w14:paraId="764FE300">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14:paraId="2F32AB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34" w:type="pct"/>
                  <w:noWrap w:val="0"/>
                  <w:vAlign w:val="center"/>
                </w:tcPr>
                <w:p w14:paraId="7E7F75DA">
                  <w:pPr>
                    <w:pStyle w:val="80"/>
                    <w:bidi w:val="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十四）强化VOCs全流程、全环节综合治理。定期开展储罐密封性检测，污水处理场所高浓度有机废气要单独收集处理，含VOCs有机废水储罐、装置区集水井（池）有机废气要密闭收集处理。企业开停工、检维修期间，及时收集处理退料、清洗、吹扫等作业产生的VOCs废气。企业不得将火炬燃烧装置作为日常大气污染处理设施。（省生态环境厅负责）</w:t>
                  </w:r>
                </w:p>
              </w:tc>
              <w:tc>
                <w:tcPr>
                  <w:tcW w:w="1529" w:type="pct"/>
                  <w:noWrap w:val="0"/>
                  <w:vAlign w:val="center"/>
                </w:tcPr>
                <w:p w14:paraId="76A9E70F">
                  <w:pPr>
                    <w:pStyle w:val="8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b w:val="0"/>
                      <w:bCs w:val="0"/>
                      <w:color w:val="auto"/>
                      <w:sz w:val="21"/>
                      <w:szCs w:val="21"/>
                      <w:lang w:bidi="ar"/>
                    </w:rPr>
                    <w:t>本</w:t>
                  </w:r>
                  <w:r>
                    <w:rPr>
                      <w:rFonts w:hint="eastAsia" w:ascii="Times New Roman" w:hAnsi="Times New Roman" w:cs="Times New Roman"/>
                      <w:b w:val="0"/>
                      <w:bCs w:val="0"/>
                      <w:color w:val="auto"/>
                      <w:sz w:val="21"/>
                      <w:szCs w:val="21"/>
                      <w:lang w:val="en-US" w:eastAsia="zh-CN" w:bidi="ar"/>
                    </w:rPr>
                    <w:t>项目</w:t>
                  </w:r>
                  <w:r>
                    <w:rPr>
                      <w:rFonts w:hint="eastAsia" w:cs="Times New Roman"/>
                      <w:b w:val="0"/>
                      <w:bCs w:val="0"/>
                      <w:color w:val="auto"/>
                      <w:sz w:val="21"/>
                      <w:szCs w:val="21"/>
                      <w:lang w:val="en-US" w:eastAsia="zh-CN" w:bidi="ar"/>
                    </w:rPr>
                    <w:t>中空玻璃生产车间为密闭，非取用状态容器密闭。</w:t>
                  </w:r>
                  <w:r>
                    <w:rPr>
                      <w:rFonts w:hint="default" w:ascii="Times New Roman" w:hAnsi="Times New Roman" w:eastAsia="宋体" w:cs="Times New Roman"/>
                      <w:b w:val="0"/>
                      <w:bCs w:val="0"/>
                      <w:color w:val="auto"/>
                      <w:kern w:val="0"/>
                      <w:sz w:val="21"/>
                      <w:szCs w:val="21"/>
                      <w:lang w:val="en-US" w:eastAsia="zh-CN" w:bidi="ar"/>
                    </w:rPr>
                    <w:t>盛装过VOCs物料的</w:t>
                  </w:r>
                  <w:r>
                    <w:rPr>
                      <w:rFonts w:hint="eastAsia" w:cs="Times New Roman"/>
                      <w:b w:val="0"/>
                      <w:bCs w:val="0"/>
                      <w:color w:val="auto"/>
                      <w:kern w:val="0"/>
                      <w:sz w:val="21"/>
                      <w:szCs w:val="21"/>
                      <w:lang w:val="en-US" w:eastAsia="zh-CN" w:bidi="ar"/>
                    </w:rPr>
                    <w:t>废胶桶加盖密闭，在危废暂存间贮存。</w:t>
                  </w:r>
                  <w:r>
                    <w:rPr>
                      <w:rFonts w:hint="eastAsia" w:cs="Times New Roman"/>
                      <w:b w:val="0"/>
                      <w:bCs w:val="0"/>
                      <w:color w:val="auto"/>
                      <w:sz w:val="21"/>
                      <w:szCs w:val="21"/>
                      <w:lang w:val="en-US" w:eastAsia="zh-CN" w:bidi="ar"/>
                    </w:rPr>
                    <w:t>所用胶粘剂均为桶装密封，</w:t>
                  </w:r>
                  <w:r>
                    <w:rPr>
                      <w:rFonts w:hint="eastAsia" w:ascii="Times New Roman" w:hAnsi="Times New Roman" w:cs="Times New Roman"/>
                      <w:b w:val="0"/>
                      <w:bCs w:val="0"/>
                      <w:color w:val="auto"/>
                      <w:sz w:val="21"/>
                      <w:szCs w:val="21"/>
                      <w:lang w:val="en-US" w:eastAsia="zh-CN" w:bidi="ar"/>
                    </w:rPr>
                    <w:t>在</w:t>
                  </w:r>
                  <w:r>
                    <w:rPr>
                      <w:rFonts w:hint="eastAsia" w:cs="Times New Roman"/>
                      <w:b w:val="0"/>
                      <w:bCs w:val="0"/>
                      <w:color w:val="000000"/>
                      <w:kern w:val="2"/>
                      <w:sz w:val="21"/>
                      <w:szCs w:val="21"/>
                      <w:lang w:val="en-US" w:eastAsia="zh-CN" w:bidi="ar"/>
                    </w:rPr>
                    <w:t>调胶、涂胶、封胶过程中产生的有机废气（包括危废暂存间废胶桶挥发的废气），通过设置集气罩收集，经二级活性炭吸附装置吸附处理后由15m高排气筒排放，</w:t>
                  </w:r>
                  <w:r>
                    <w:rPr>
                      <w:rFonts w:hint="eastAsia" w:ascii="Times New Roman" w:hAnsi="Times New Roman" w:eastAsia="宋体" w:cs="Times New Roman"/>
                      <w:b w:val="0"/>
                      <w:bCs w:val="0"/>
                      <w:color w:val="auto"/>
                      <w:sz w:val="21"/>
                      <w:szCs w:val="21"/>
                      <w:lang w:val="en-US" w:eastAsia="zh-CN"/>
                    </w:rPr>
                    <w:t>通过以上措施，废气</w:t>
                  </w:r>
                  <w:r>
                    <w:rPr>
                      <w:rFonts w:hint="eastAsia" w:ascii="Times New Roman" w:hAnsi="Times New Roman" w:cs="Times New Roman"/>
                      <w:b w:val="0"/>
                      <w:bCs w:val="0"/>
                      <w:color w:val="auto"/>
                      <w:sz w:val="21"/>
                      <w:szCs w:val="21"/>
                      <w:lang w:val="en-US" w:eastAsia="zh-CN" w:bidi="ar"/>
                    </w:rPr>
                    <w:t>可实现达标排放</w:t>
                  </w:r>
                  <w:r>
                    <w:rPr>
                      <w:rFonts w:hint="default" w:ascii="Times New Roman" w:hAnsi="Times New Roman" w:eastAsia="宋体" w:cs="Times New Roman"/>
                      <w:b w:val="0"/>
                      <w:bCs w:val="0"/>
                      <w:color w:val="auto"/>
                      <w:sz w:val="21"/>
                      <w:szCs w:val="21"/>
                      <w:lang w:bidi="ar"/>
                    </w:rPr>
                    <w:t>。</w:t>
                  </w:r>
                </w:p>
              </w:tc>
              <w:tc>
                <w:tcPr>
                  <w:tcW w:w="536" w:type="pct"/>
                  <w:noWrap w:val="0"/>
                  <w:vAlign w:val="center"/>
                </w:tcPr>
                <w:p w14:paraId="17F4661A">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r w14:paraId="1D6C6D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34" w:type="pct"/>
                  <w:noWrap w:val="0"/>
                  <w:vAlign w:val="center"/>
                </w:tcPr>
                <w:p w14:paraId="54E224CF">
                  <w:pPr>
                    <w:pStyle w:val="80"/>
                    <w:bidi w:val="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二十六）开展全民行动。动员社会各界广泛参与大气环境保护，推进信息公开，广泛宣传解读大气污染防治政策举措、进展成效，多渠道受理大气污染违法行为举报，做好公益宣传，倡导绿色文明环保生产生活方式。</w:t>
                  </w:r>
                </w:p>
              </w:tc>
              <w:tc>
                <w:tcPr>
                  <w:tcW w:w="1529" w:type="pct"/>
                  <w:noWrap w:val="0"/>
                  <w:vAlign w:val="center"/>
                </w:tcPr>
                <w:p w14:paraId="29432E01">
                  <w:pPr>
                    <w:pStyle w:val="80"/>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rPr>
                    <w:t>本项目</w:t>
                  </w:r>
                  <w:r>
                    <w:rPr>
                      <w:rFonts w:hint="eastAsia" w:ascii="Times New Roman" w:hAnsi="Times New Roman" w:cs="Times New Roman"/>
                      <w:color w:val="000000"/>
                      <w:sz w:val="21"/>
                      <w:szCs w:val="21"/>
                      <w:highlight w:val="none"/>
                      <w:lang w:eastAsia="zh-CN"/>
                    </w:rPr>
                    <w:t>生产期间，对员工宣传</w:t>
                  </w:r>
                  <w:r>
                    <w:rPr>
                      <w:rFonts w:hint="default" w:ascii="Times New Roman" w:hAnsi="Times New Roman" w:cs="Times New Roman"/>
                      <w:color w:val="000000"/>
                      <w:sz w:val="21"/>
                      <w:szCs w:val="21"/>
                      <w:highlight w:val="none"/>
                    </w:rPr>
                    <w:t>大气环境保护</w:t>
                  </w:r>
                  <w:r>
                    <w:rPr>
                      <w:rFonts w:hint="eastAsia" w:cs="Times New Roman"/>
                      <w:color w:val="000000"/>
                      <w:sz w:val="21"/>
                      <w:szCs w:val="21"/>
                      <w:highlight w:val="none"/>
                      <w:lang w:eastAsia="zh-CN"/>
                    </w:rPr>
                    <w:t>相关知识</w:t>
                  </w:r>
                  <w:r>
                    <w:rPr>
                      <w:rFonts w:hint="default" w:ascii="Times New Roman" w:hAnsi="Times New Roman" w:cs="Times New Roman"/>
                      <w:color w:val="000000"/>
                      <w:sz w:val="21"/>
                      <w:szCs w:val="21"/>
                      <w:highlight w:val="none"/>
                    </w:rPr>
                    <w:t>，推进信息公开，做好公益宣传，倡导绿色文明环保生产生活方式。</w:t>
                  </w:r>
                </w:p>
              </w:tc>
              <w:tc>
                <w:tcPr>
                  <w:tcW w:w="536" w:type="pct"/>
                  <w:noWrap w:val="0"/>
                  <w:vAlign w:val="center"/>
                </w:tcPr>
                <w:p w14:paraId="6BF8C549">
                  <w:pPr>
                    <w:pStyle w:val="8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符合</w:t>
                  </w:r>
                </w:p>
              </w:tc>
            </w:tr>
          </w:tbl>
          <w:p w14:paraId="4594D4C4">
            <w:pPr>
              <w:pStyle w:val="28"/>
              <w:keepNext/>
              <w:keepLines/>
              <w:pageBreakBefore w:val="0"/>
              <w:widowControl w:val="0"/>
              <w:numPr>
                <w:ilvl w:val="0"/>
                <w:numId w:val="0"/>
              </w:numPr>
              <w:kinsoku/>
              <w:wordWrap/>
              <w:overflowPunct/>
              <w:topLinePunct w:val="0"/>
              <w:autoSpaceDE w:val="0"/>
              <w:autoSpaceDN w:val="0"/>
              <w:bidi w:val="0"/>
              <w:adjustRightInd w:val="0"/>
              <w:snapToGrid w:val="0"/>
              <w:spacing w:beforeLines="0" w:afterLines="0" w:line="360" w:lineRule="auto"/>
              <w:ind w:firstLine="476" w:firstLineChars="200"/>
              <w:jc w:val="both"/>
              <w:textAlignment w:val="baseline"/>
              <w:rPr>
                <w:rFonts w:hint="default" w:ascii="Times New Roman" w:hAnsi="Times New Roman" w:eastAsia="宋体" w:cs="Times New Roman"/>
                <w:b/>
                <w:color w:val="auto"/>
                <w:kern w:val="0"/>
                <w:sz w:val="24"/>
                <w:szCs w:val="24"/>
                <w:lang w:val="en-US" w:eastAsia="zh-CN" w:bidi="ar-SA"/>
              </w:rPr>
            </w:pPr>
            <w:r>
              <w:rPr>
                <w:rFonts w:hint="eastAsia" w:ascii="Times New Roman" w:hAnsi="Times New Roman" w:eastAsia="宋体" w:cs="Times New Roman"/>
                <w:b w:val="0"/>
                <w:bCs/>
                <w:color w:val="auto"/>
                <w:spacing w:val="-1"/>
                <w:kern w:val="2"/>
                <w:sz w:val="24"/>
                <w:szCs w:val="24"/>
                <w:lang w:val="en-US" w:eastAsia="zh-CN" w:bidi="ar-SA"/>
              </w:rPr>
              <w:t>综上所述，本项目符合</w:t>
            </w:r>
            <w:r>
              <w:rPr>
                <w:rFonts w:hint="eastAsia" w:ascii="Times New Roman" w:hAnsi="Times New Roman" w:eastAsia="宋体" w:cs="Times New Roman"/>
                <w:b w:val="0"/>
                <w:bCs/>
                <w:color w:val="auto"/>
                <w:spacing w:val="-1"/>
                <w:kern w:val="2"/>
                <w:sz w:val="24"/>
                <w:szCs w:val="24"/>
                <w:lang w:val="en-US" w:eastAsia="en-US" w:bidi="ar-SA"/>
              </w:rPr>
              <w:t>《辽宁省空气质量持续改善行动实施方案》</w:t>
            </w:r>
            <w:r>
              <w:rPr>
                <w:rFonts w:hint="eastAsia" w:ascii="Times New Roman" w:hAnsi="Times New Roman" w:eastAsia="宋体" w:cs="Times New Roman"/>
                <w:b w:val="0"/>
                <w:bCs/>
                <w:color w:val="auto"/>
                <w:spacing w:val="-1"/>
                <w:kern w:val="2"/>
                <w:sz w:val="24"/>
                <w:szCs w:val="24"/>
                <w:lang w:val="en-US" w:eastAsia="zh-CN" w:bidi="ar-SA"/>
              </w:rPr>
              <w:t>（</w:t>
            </w:r>
            <w:r>
              <w:rPr>
                <w:rFonts w:hint="eastAsia" w:ascii="Times New Roman" w:hAnsi="Times New Roman" w:eastAsia="宋体" w:cs="Times New Roman"/>
                <w:b w:val="0"/>
                <w:bCs/>
                <w:color w:val="auto"/>
                <w:spacing w:val="-1"/>
                <w:kern w:val="2"/>
                <w:sz w:val="24"/>
                <w:szCs w:val="24"/>
                <w:lang w:val="en-US" w:eastAsia="en-US" w:bidi="ar-SA"/>
              </w:rPr>
              <w:t>辽</w:t>
            </w:r>
            <w:r>
              <w:rPr>
                <w:rFonts w:hint="default" w:ascii="Times New Roman" w:hAnsi="Times New Roman" w:eastAsia="宋体" w:cs="Times New Roman"/>
                <w:b w:val="0"/>
                <w:bCs/>
                <w:color w:val="auto"/>
                <w:spacing w:val="-1"/>
                <w:kern w:val="2"/>
                <w:sz w:val="24"/>
                <w:szCs w:val="24"/>
                <w:lang w:val="en-US" w:eastAsia="en-US" w:bidi="ar-SA"/>
              </w:rPr>
              <w:t>政发</w:t>
            </w:r>
            <w:r>
              <w:rPr>
                <w:rFonts w:hint="eastAsia" w:ascii="Times New Roman" w:cs="Times New Roman"/>
                <w:b w:val="0"/>
                <w:bCs/>
                <w:color w:val="auto"/>
                <w:spacing w:val="-1"/>
                <w:kern w:val="2"/>
                <w:sz w:val="24"/>
                <w:szCs w:val="24"/>
                <w:lang w:val="en-US" w:eastAsia="zh-CN" w:bidi="ar-SA"/>
              </w:rPr>
              <w:t>[</w:t>
            </w:r>
            <w:r>
              <w:rPr>
                <w:rFonts w:hint="default" w:ascii="Times New Roman" w:hAnsi="Times New Roman" w:eastAsia="宋体" w:cs="Times New Roman"/>
                <w:b w:val="0"/>
                <w:bCs/>
                <w:color w:val="auto"/>
                <w:spacing w:val="-1"/>
                <w:kern w:val="2"/>
                <w:sz w:val="24"/>
                <w:szCs w:val="24"/>
                <w:lang w:val="en-US" w:eastAsia="en-US" w:bidi="ar-SA"/>
              </w:rPr>
              <w:t>2024</w:t>
            </w:r>
            <w:r>
              <w:rPr>
                <w:rFonts w:hint="eastAsia" w:ascii="Times New Roman" w:cs="Times New Roman"/>
                <w:b w:val="0"/>
                <w:bCs/>
                <w:color w:val="auto"/>
                <w:spacing w:val="-1"/>
                <w:kern w:val="2"/>
                <w:sz w:val="24"/>
                <w:szCs w:val="24"/>
                <w:lang w:val="en-US" w:eastAsia="zh-CN" w:bidi="ar-SA"/>
              </w:rPr>
              <w:t>]</w:t>
            </w:r>
            <w:r>
              <w:rPr>
                <w:rFonts w:hint="default" w:ascii="Times New Roman" w:hAnsi="Times New Roman" w:eastAsia="宋体" w:cs="Times New Roman"/>
                <w:b w:val="0"/>
                <w:bCs/>
                <w:color w:val="auto"/>
                <w:spacing w:val="-1"/>
                <w:kern w:val="2"/>
                <w:sz w:val="24"/>
                <w:szCs w:val="24"/>
                <w:lang w:val="en-US" w:eastAsia="en-US" w:bidi="ar-SA"/>
              </w:rPr>
              <w:t>11号</w:t>
            </w:r>
            <w:r>
              <w:rPr>
                <w:rFonts w:hint="default" w:ascii="Times New Roman" w:hAnsi="Times New Roman" w:eastAsia="宋体" w:cs="Times New Roman"/>
                <w:b w:val="0"/>
                <w:bCs/>
                <w:color w:val="auto"/>
                <w:spacing w:val="-1"/>
                <w:kern w:val="2"/>
                <w:sz w:val="24"/>
                <w:szCs w:val="24"/>
                <w:lang w:val="en-US" w:eastAsia="zh-CN" w:bidi="ar-SA"/>
              </w:rPr>
              <w:t>）</w:t>
            </w:r>
            <w:r>
              <w:rPr>
                <w:rFonts w:hint="eastAsia" w:ascii="Times New Roman" w:hAnsi="Times New Roman" w:eastAsia="宋体" w:cs="Times New Roman"/>
                <w:b w:val="0"/>
                <w:bCs/>
                <w:color w:val="auto"/>
                <w:spacing w:val="-1"/>
                <w:kern w:val="2"/>
                <w:sz w:val="24"/>
                <w:szCs w:val="24"/>
                <w:lang w:val="en-US" w:eastAsia="zh-CN" w:bidi="ar-SA"/>
              </w:rPr>
              <w:t>相关要求</w:t>
            </w:r>
            <w:r>
              <w:rPr>
                <w:rFonts w:hint="eastAsia" w:ascii="Times New Roman" w:cs="Times New Roman"/>
                <w:b w:val="0"/>
                <w:bCs/>
                <w:color w:val="auto"/>
                <w:spacing w:val="-1"/>
                <w:kern w:val="2"/>
                <w:sz w:val="24"/>
                <w:szCs w:val="24"/>
                <w:lang w:val="en-US" w:eastAsia="zh-CN" w:bidi="ar-SA"/>
              </w:rPr>
              <w:t>。</w:t>
            </w:r>
          </w:p>
        </w:tc>
      </w:tr>
    </w:tbl>
    <w:p w14:paraId="4449D5FD">
      <w:pPr>
        <w:rPr>
          <w:rFonts w:hint="eastAsia" w:ascii="黑体" w:hAnsi="黑体" w:eastAsia="黑体"/>
          <w:snapToGrid w:val="0"/>
          <w:color w:val="auto"/>
          <w:sz w:val="30"/>
          <w:szCs w:val="30"/>
        </w:rPr>
      </w:pPr>
      <w:r>
        <w:rPr>
          <w:rFonts w:hint="eastAsia" w:ascii="黑体" w:hAnsi="黑体" w:eastAsia="黑体"/>
          <w:snapToGrid w:val="0"/>
          <w:color w:val="auto"/>
          <w:sz w:val="30"/>
          <w:szCs w:val="30"/>
        </w:rPr>
        <w:br w:type="page"/>
      </w:r>
    </w:p>
    <w:p w14:paraId="53613A4D">
      <w:pPr>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9"/>
        <w:tblW w:w="974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1"/>
        <w:gridCol w:w="9295"/>
      </w:tblGrid>
      <w:tr w14:paraId="343AB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1" w:type="dxa"/>
            <w:noWrap w:val="0"/>
            <w:vAlign w:val="center"/>
          </w:tcPr>
          <w:p w14:paraId="64B720A6">
            <w:pPr>
              <w:pStyle w:val="16"/>
              <w:adjustRightInd w:val="0"/>
              <w:snapToGrid w:val="0"/>
              <w:spacing w:before="0" w:beforeAutospacing="0" w:after="0" w:afterAutospacing="0"/>
              <w:jc w:val="center"/>
              <w:rPr>
                <w:rFonts w:cs="宋体"/>
                <w:color w:val="auto"/>
                <w:sz w:val="24"/>
                <w:szCs w:val="24"/>
                <w:lang w:val="en-US" w:eastAsia="zh-CN"/>
              </w:rPr>
            </w:pPr>
            <w:r>
              <w:rPr>
                <w:rFonts w:hint="eastAsia" w:cs="宋体"/>
                <w:color w:val="auto"/>
                <w:sz w:val="24"/>
                <w:szCs w:val="24"/>
                <w:lang w:val="en-US" w:eastAsia="zh-CN"/>
              </w:rPr>
              <w:t>建设内容</w:t>
            </w:r>
          </w:p>
        </w:tc>
        <w:tc>
          <w:tcPr>
            <w:tcW w:w="9295" w:type="dxa"/>
            <w:noWrap w:val="0"/>
            <w:vAlign w:val="top"/>
          </w:tcPr>
          <w:p w14:paraId="615FC6A9">
            <w:pPr>
              <w:numPr>
                <w:ilvl w:val="0"/>
                <w:numId w:val="0"/>
              </w:numPr>
              <w:spacing w:line="360" w:lineRule="auto"/>
              <w:rPr>
                <w:rFonts w:hint="eastAsia" w:cs="Times New Roman"/>
                <w:b/>
                <w:bCs/>
                <w:color w:val="auto"/>
                <w:sz w:val="24"/>
                <w:szCs w:val="24"/>
                <w:lang w:val="en-US" w:eastAsia="zh-CN"/>
              </w:rPr>
            </w:pPr>
            <w:r>
              <w:rPr>
                <w:rFonts w:hint="eastAsia" w:cs="Times New Roman"/>
                <w:b/>
                <w:bCs/>
                <w:color w:val="auto"/>
                <w:sz w:val="24"/>
                <w:szCs w:val="24"/>
                <w:lang w:val="en-US" w:eastAsia="zh-CN"/>
              </w:rPr>
              <w:t>1、项目由来</w:t>
            </w:r>
          </w:p>
          <w:p w14:paraId="2AB106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sz w:val="24"/>
                <w:highlight w:val="none"/>
                <w:lang w:val="en-US" w:eastAsia="zh-CN"/>
              </w:rPr>
            </w:pPr>
            <w:r>
              <w:rPr>
                <w:rFonts w:hint="default" w:ascii="Times New Roman" w:hAnsi="Times New Roman" w:cs="Times New Roman"/>
                <w:color w:val="auto"/>
                <w:sz w:val="24"/>
              </w:rPr>
              <w:t>辽宁琅润钢化玻璃有限公司成立于2021年03月26日</w:t>
            </w:r>
            <w:r>
              <w:rPr>
                <w:rFonts w:hint="default" w:ascii="Times New Roman" w:hAnsi="Times New Roman" w:cs="Times New Roman"/>
                <w:color w:val="auto"/>
                <w:sz w:val="24"/>
                <w:lang w:eastAsia="zh-CN"/>
              </w:rPr>
              <w:t>，</w:t>
            </w:r>
            <w:r>
              <w:rPr>
                <w:rFonts w:hint="eastAsia" w:ascii="Times New Roman" w:hAnsi="Times New Roman" w:cs="Times New Roman"/>
                <w:color w:val="auto"/>
                <w:sz w:val="24"/>
                <w:lang w:eastAsia="zh-CN"/>
              </w:rPr>
              <w:t>是一家</w:t>
            </w:r>
            <w:r>
              <w:rPr>
                <w:rFonts w:hint="default" w:ascii="Times New Roman" w:hAnsi="Times New Roman" w:cs="Times New Roman"/>
                <w:color w:val="auto"/>
                <w:sz w:val="24"/>
                <w:lang w:eastAsia="zh-CN"/>
              </w:rPr>
              <w:t>用数字化技术和智能</w:t>
            </w:r>
            <w:r>
              <w:rPr>
                <w:rFonts w:hint="eastAsia" w:ascii="Times New Roman" w:hAnsi="Times New Roman" w:cs="Times New Roman"/>
                <w:color w:val="auto"/>
                <w:sz w:val="24"/>
                <w:lang w:eastAsia="zh-CN"/>
              </w:rPr>
              <w:t>制造</w:t>
            </w:r>
            <w:r>
              <w:rPr>
                <w:rFonts w:hint="default" w:ascii="Times New Roman" w:hAnsi="Times New Roman" w:cs="Times New Roman"/>
                <w:color w:val="auto"/>
                <w:sz w:val="24"/>
                <w:lang w:eastAsia="zh-CN"/>
              </w:rPr>
              <w:t>来</w:t>
            </w:r>
            <w:r>
              <w:rPr>
                <w:rFonts w:hint="eastAsia" w:ascii="Times New Roman" w:hAnsi="Times New Roman" w:cs="Times New Roman"/>
                <w:color w:val="auto"/>
                <w:sz w:val="24"/>
                <w:lang w:eastAsia="zh-CN"/>
              </w:rPr>
              <w:t>提高生产效率、</w:t>
            </w:r>
            <w:r>
              <w:rPr>
                <w:rFonts w:hint="default" w:ascii="Times New Roman" w:hAnsi="Times New Roman" w:cs="Times New Roman"/>
                <w:color w:val="auto"/>
                <w:sz w:val="24"/>
                <w:lang w:eastAsia="zh-CN"/>
              </w:rPr>
              <w:t>降低成本和提升产品质量的玻璃深加工企业。</w:t>
            </w:r>
            <w:r>
              <w:rPr>
                <w:rFonts w:hint="default" w:ascii="Times New Roman" w:hAnsi="Times New Roman" w:cs="Times New Roman"/>
                <w:color w:val="auto"/>
                <w:sz w:val="24"/>
              </w:rPr>
              <w:t>20</w:t>
            </w:r>
            <w:r>
              <w:rPr>
                <w:rFonts w:hint="default" w:ascii="Times New Roman" w:hAnsi="Times New Roman" w:cs="Times New Roman"/>
                <w:color w:val="auto"/>
                <w:sz w:val="24"/>
                <w:lang w:val="en-US" w:eastAsia="zh-CN"/>
              </w:rPr>
              <w:t>2</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lang w:val="en-US" w:eastAsia="zh-CN"/>
              </w:rPr>
              <w:t>日</w:t>
            </w:r>
            <w:r>
              <w:rPr>
                <w:rFonts w:hint="default" w:ascii="Times New Roman" w:hAnsi="Times New Roman" w:cs="Times New Roman"/>
                <w:color w:val="auto"/>
                <w:sz w:val="24"/>
              </w:rPr>
              <w:t>取得</w:t>
            </w:r>
            <w:r>
              <w:rPr>
                <w:rFonts w:hint="eastAsia" w:cs="Times New Roman"/>
                <w:color w:val="auto"/>
                <w:sz w:val="24"/>
                <w:szCs w:val="24"/>
                <w:lang w:val="en-US" w:eastAsia="zh-CN"/>
              </w:rPr>
              <w:t>调兵山经济开发区管理委员会</w:t>
            </w:r>
            <w:r>
              <w:rPr>
                <w:rFonts w:hint="default" w:ascii="Times New Roman" w:hAnsi="Times New Roman" w:cs="Times New Roman"/>
                <w:color w:val="auto"/>
                <w:sz w:val="24"/>
                <w:szCs w:val="24"/>
                <w:lang w:val="en-US" w:eastAsia="zh-CN"/>
              </w:rPr>
              <w:t>关于</w:t>
            </w:r>
            <w:r>
              <w:rPr>
                <w:rFonts w:hint="eastAsia" w:ascii="Times New Roman" w:hAnsi="Times New Roman" w:cs="Times New Roman"/>
                <w:color w:val="auto"/>
                <w:sz w:val="24"/>
                <w:szCs w:val="24"/>
                <w:lang w:val="en-US" w:eastAsia="zh-CN"/>
              </w:rPr>
              <w:t>《</w:t>
            </w:r>
            <w:r>
              <w:rPr>
                <w:rFonts w:hint="eastAsia" w:ascii="Times New Roman" w:hAnsi="Times New Roman" w:eastAsia="宋体" w:cs="Times New Roman"/>
                <w:color w:val="auto"/>
                <w:sz w:val="24"/>
                <w:szCs w:val="24"/>
                <w:lang w:eastAsia="zh-CN"/>
              </w:rPr>
              <w:t>年加工30万平方米钢化中空玻璃项目</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lang w:eastAsia="zh-CN"/>
              </w:rPr>
              <w:t>备案</w:t>
            </w:r>
            <w:r>
              <w:rPr>
                <w:rFonts w:hint="eastAsia" w:ascii="Times New Roman" w:hAnsi="Times New Roman" w:eastAsia="宋体" w:cs="Times New Roman"/>
                <w:sz w:val="24"/>
                <w:lang w:eastAsia="zh-CN"/>
              </w:rPr>
              <w:t>证明</w:t>
            </w:r>
            <w:r>
              <w:rPr>
                <w:rFonts w:hint="default" w:ascii="Times New Roman" w:hAnsi="Times New Roman" w:cs="Times New Roman"/>
                <w:sz w:val="24"/>
              </w:rPr>
              <w:t>，</w:t>
            </w:r>
            <w:r>
              <w:rPr>
                <w:rFonts w:hint="default" w:ascii="Times New Roman" w:hAnsi="Times New Roman" w:cs="Times New Roman"/>
                <w:sz w:val="24"/>
                <w:lang w:eastAsia="zh-CN"/>
              </w:rPr>
              <w:t>项目</w:t>
            </w:r>
            <w:r>
              <w:rPr>
                <w:rFonts w:hint="eastAsia" w:ascii="Times New Roman" w:hAnsi="Times New Roman" w:cs="Times New Roman"/>
                <w:sz w:val="24"/>
                <w:lang w:eastAsia="zh-CN"/>
              </w:rPr>
              <w:t>代码</w:t>
            </w:r>
            <w:r>
              <w:rPr>
                <w:rFonts w:hint="default" w:ascii="Times New Roman" w:hAnsi="Times New Roman" w:cs="Times New Roman"/>
                <w:sz w:val="24"/>
              </w:rPr>
              <w:t>：</w:t>
            </w:r>
            <w:r>
              <w:rPr>
                <w:rFonts w:hint="eastAsia" w:cs="Times New Roman"/>
                <w:color w:val="auto"/>
                <w:sz w:val="24"/>
                <w:szCs w:val="24"/>
                <w:lang w:val="en-US" w:eastAsia="zh-CN"/>
              </w:rPr>
              <w:t>2403-211283-04-01-881858</w:t>
            </w:r>
            <w:r>
              <w:rPr>
                <w:rFonts w:hint="default" w:ascii="Times New Roman" w:hAnsi="Times New Roman" w:eastAsia="宋体" w:cs="Times New Roman"/>
                <w:color w:val="000000"/>
                <w:sz w:val="24"/>
                <w:lang w:eastAsia="zh-CN"/>
              </w:rPr>
              <w:t>。</w:t>
            </w:r>
            <w:r>
              <w:rPr>
                <w:rFonts w:hint="eastAsia" w:cs="Times New Roman"/>
                <w:color w:val="000000"/>
                <w:sz w:val="24"/>
                <w:lang w:eastAsia="zh-CN"/>
              </w:rPr>
              <w:t>本项目</w:t>
            </w:r>
            <w:r>
              <w:rPr>
                <w:rFonts w:hint="eastAsia" w:ascii="Times New Roman" w:hAnsi="Times New Roman" w:eastAsia="宋体" w:cs="Times New Roman"/>
                <w:color w:val="000000"/>
                <w:sz w:val="24"/>
                <w:lang w:eastAsia="zh-CN"/>
              </w:rPr>
              <w:t>对外购玻璃原片经加工制造成钢化玻璃</w:t>
            </w:r>
            <w:r>
              <w:rPr>
                <w:rFonts w:hint="eastAsia" w:ascii="Times New Roman" w:hAnsi="Times New Roman" w:eastAsia="宋体" w:cs="Times New Roman"/>
                <w:color w:val="000000"/>
                <w:sz w:val="24"/>
                <w:highlight w:val="none"/>
                <w:lang w:eastAsia="zh-CN"/>
              </w:rPr>
              <w:t>及中空玻璃，年生产规模</w:t>
            </w:r>
            <w:r>
              <w:rPr>
                <w:rFonts w:hint="eastAsia" w:ascii="Times New Roman" w:hAnsi="Times New Roman" w:eastAsia="宋体" w:cs="Times New Roman"/>
                <w:color w:val="000000"/>
                <w:sz w:val="24"/>
                <w:highlight w:val="none"/>
                <w:lang w:val="en-US" w:eastAsia="zh-CN"/>
              </w:rPr>
              <w:t>30万</w:t>
            </w:r>
            <w:r>
              <w:rPr>
                <w:rFonts w:hint="default" w:ascii="Times New Roman" w:hAnsi="Times New Roman" w:eastAsia="宋体" w:cs="Times New Roman"/>
                <w:color w:val="000000"/>
                <w:kern w:val="2"/>
                <w:sz w:val="24"/>
                <w:szCs w:val="24"/>
                <w:highlight w:val="none"/>
                <w:lang w:val="en-US" w:eastAsia="zh-CN" w:bidi="ar"/>
              </w:rPr>
              <w:t>m</w:t>
            </w:r>
            <w:r>
              <w:rPr>
                <w:rFonts w:hint="default" w:ascii="Times New Roman" w:hAnsi="Times New Roman" w:eastAsia="宋体" w:cs="Times New Roman"/>
                <w:color w:val="000000"/>
                <w:kern w:val="2"/>
                <w:sz w:val="24"/>
                <w:szCs w:val="24"/>
                <w:highlight w:val="none"/>
                <w:vertAlign w:val="superscript"/>
                <w:lang w:val="en-US" w:eastAsia="zh-CN" w:bidi="ar"/>
              </w:rPr>
              <w:t>2</w:t>
            </w:r>
            <w:r>
              <w:rPr>
                <w:rFonts w:hint="eastAsia" w:ascii="Times New Roman" w:hAnsi="Times New Roman" w:eastAsia="宋体" w:cs="Times New Roman"/>
                <w:color w:val="000000"/>
                <w:sz w:val="24"/>
                <w:highlight w:val="none"/>
                <w:lang w:val="en-US" w:eastAsia="zh-CN"/>
              </w:rPr>
              <w:t>，其中钢化玻璃</w:t>
            </w:r>
            <w:r>
              <w:rPr>
                <w:rFonts w:hint="eastAsia" w:cs="Times New Roman"/>
                <w:color w:val="000000"/>
                <w:sz w:val="24"/>
                <w:highlight w:val="none"/>
                <w:lang w:val="en-US" w:eastAsia="zh-CN"/>
              </w:rPr>
              <w:t>8万</w:t>
            </w:r>
            <w:r>
              <w:rPr>
                <w:rFonts w:hint="default" w:ascii="Times New Roman" w:hAnsi="Times New Roman" w:eastAsia="宋体" w:cs="Times New Roman"/>
                <w:color w:val="000000"/>
                <w:kern w:val="2"/>
                <w:sz w:val="24"/>
                <w:szCs w:val="24"/>
                <w:highlight w:val="none"/>
                <w:lang w:val="en-US" w:eastAsia="zh-CN" w:bidi="ar"/>
              </w:rPr>
              <w:t>m</w:t>
            </w:r>
            <w:r>
              <w:rPr>
                <w:rFonts w:hint="default" w:ascii="Times New Roman" w:hAnsi="Times New Roman" w:eastAsia="宋体" w:cs="Times New Roman"/>
                <w:color w:val="000000"/>
                <w:kern w:val="2"/>
                <w:sz w:val="24"/>
                <w:szCs w:val="24"/>
                <w:highlight w:val="none"/>
                <w:vertAlign w:val="superscript"/>
                <w:lang w:val="en-US" w:eastAsia="zh-CN" w:bidi="ar"/>
              </w:rPr>
              <w:t>2</w:t>
            </w:r>
            <w:r>
              <w:rPr>
                <w:rFonts w:hint="eastAsia" w:ascii="Times New Roman" w:hAnsi="Times New Roman" w:eastAsia="宋体" w:cs="Times New Roman"/>
                <w:color w:val="000000"/>
                <w:sz w:val="24"/>
                <w:highlight w:val="none"/>
                <w:lang w:val="en-US" w:eastAsia="zh-CN"/>
              </w:rPr>
              <w:t>，中空玻璃</w:t>
            </w:r>
            <w:r>
              <w:rPr>
                <w:rFonts w:hint="eastAsia" w:cs="Times New Roman"/>
                <w:color w:val="000000"/>
                <w:sz w:val="24"/>
                <w:highlight w:val="none"/>
                <w:lang w:val="en-US" w:eastAsia="zh-CN"/>
              </w:rPr>
              <w:t>22万</w:t>
            </w:r>
            <w:r>
              <w:rPr>
                <w:rFonts w:hint="default" w:ascii="Times New Roman" w:hAnsi="Times New Roman" w:eastAsia="宋体" w:cs="Times New Roman"/>
                <w:color w:val="000000"/>
                <w:kern w:val="2"/>
                <w:sz w:val="24"/>
                <w:szCs w:val="24"/>
                <w:highlight w:val="none"/>
                <w:lang w:val="en-US" w:eastAsia="zh-CN" w:bidi="ar"/>
              </w:rPr>
              <w:t>m</w:t>
            </w:r>
            <w:r>
              <w:rPr>
                <w:rFonts w:hint="default" w:ascii="Times New Roman" w:hAnsi="Times New Roman" w:eastAsia="宋体" w:cs="Times New Roman"/>
                <w:color w:val="000000"/>
                <w:kern w:val="2"/>
                <w:sz w:val="24"/>
                <w:szCs w:val="24"/>
                <w:highlight w:val="none"/>
                <w:vertAlign w:val="superscript"/>
                <w:lang w:val="en-US" w:eastAsia="zh-CN" w:bidi="ar"/>
              </w:rPr>
              <w:t>2</w:t>
            </w:r>
            <w:r>
              <w:rPr>
                <w:rFonts w:hint="eastAsia" w:ascii="Times New Roman" w:hAnsi="Times New Roman" w:eastAsia="宋体" w:cs="Times New Roman"/>
                <w:color w:val="000000"/>
                <w:sz w:val="24"/>
                <w:highlight w:val="none"/>
                <w:lang w:val="en-US" w:eastAsia="zh-CN"/>
              </w:rPr>
              <w:t>。</w:t>
            </w:r>
          </w:p>
          <w:p w14:paraId="7C1A7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rFonts w:hint="eastAsia"/>
                <w:bCs/>
                <w:sz w:val="24"/>
              </w:rPr>
              <w:t>按照《中华人民共和国环境保护法》、《中华人民共和国环境影响评价法》和《建设项目环境保护管理条例》（国务院第682号令）的要求，该项目应进行环境影响评价。</w:t>
            </w:r>
            <w:r>
              <w:rPr>
                <w:rFonts w:hint="default" w:ascii="Times New Roman" w:hAnsi="Times New Roman" w:cs="Times New Roman"/>
                <w:color w:val="auto"/>
                <w:sz w:val="24"/>
                <w:lang w:val="en-US" w:eastAsia="zh-CN"/>
              </w:rPr>
              <w:t>根据《建设项目环境影响评价分类管理名录》（2021 年版）的类别划分，项目属于“二十七、非金属矿物制品业 30；57 玻璃制造 304”类别中的“特种玻璃制造；其他玻璃制造；玻璃制品制造（电加热的除外；仅切割、打磨、成型的除外）”，需编制环境影响报告表。</w:t>
            </w:r>
            <w:r>
              <w:rPr>
                <w:rFonts w:hint="eastAsia"/>
                <w:bCs/>
                <w:sz w:val="24"/>
              </w:rPr>
              <w:t>受辽宁琅润钢化玻璃有限公司委托（委托书见附件1），辽宁铂环资源环境科技有限公司承担了本项目的环境影响评价工作。经过对现场调查，并查阅有关资料，本着“科学、公正、客观”的态度，编制了本项目的环境影响报告表。</w:t>
            </w:r>
          </w:p>
          <w:p w14:paraId="680AFBAC">
            <w:pPr>
              <w:numPr>
                <w:ilvl w:val="0"/>
                <w:numId w:val="0"/>
              </w:numPr>
              <w:spacing w:line="360" w:lineRule="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rPr>
              <w:t>工程内容</w:t>
            </w:r>
          </w:p>
          <w:p w14:paraId="7AD9B73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本项目租用沈阳新久利管业股份有限公司厂房</w:t>
            </w:r>
            <w:r>
              <w:rPr>
                <w:rFonts w:hint="eastAsia" w:cs="Times New Roman"/>
                <w:color w:val="auto"/>
                <w:sz w:val="24"/>
                <w:szCs w:val="24"/>
                <w:lang w:eastAsia="zh-CN"/>
              </w:rPr>
              <w:t>进行建设。项目总占地面积</w:t>
            </w:r>
            <w:r>
              <w:rPr>
                <w:rFonts w:hint="eastAsia" w:cs="Times New Roman"/>
                <w:color w:val="auto"/>
                <w:sz w:val="24"/>
                <w:szCs w:val="24"/>
                <w:lang w:val="en-US" w:eastAsia="zh-CN"/>
              </w:rPr>
              <w:t>32074</w:t>
            </w:r>
            <w:r>
              <w:rPr>
                <w:rFonts w:hint="default" w:ascii="Times New Roman" w:hAnsi="Times New Roman" w:eastAsia="宋体" w:cs="Times New Roman"/>
                <w:color w:val="auto"/>
                <w:sz w:val="24"/>
                <w:szCs w:val="24"/>
              </w:rPr>
              <w:t>平方米，</w:t>
            </w:r>
            <w:r>
              <w:rPr>
                <w:rFonts w:hint="eastAsia" w:cs="Times New Roman"/>
                <w:color w:val="auto"/>
                <w:sz w:val="24"/>
                <w:szCs w:val="24"/>
                <w:lang w:eastAsia="zh-CN"/>
              </w:rPr>
              <w:t>总</w:t>
            </w:r>
            <w:r>
              <w:rPr>
                <w:rFonts w:hint="default" w:ascii="Times New Roman" w:hAnsi="Times New Roman" w:eastAsia="宋体" w:cs="Times New Roman"/>
                <w:color w:val="auto"/>
                <w:sz w:val="24"/>
                <w:szCs w:val="24"/>
              </w:rPr>
              <w:t>建筑面积约</w:t>
            </w:r>
            <w:r>
              <w:rPr>
                <w:rFonts w:hint="eastAsia" w:cs="Times New Roman"/>
                <w:color w:val="auto"/>
                <w:sz w:val="24"/>
                <w:szCs w:val="24"/>
                <w:lang w:val="en-US" w:eastAsia="zh-CN"/>
              </w:rPr>
              <w:t>10956.09</w:t>
            </w:r>
            <w:r>
              <w:rPr>
                <w:rFonts w:hint="default" w:ascii="Times New Roman" w:hAnsi="Times New Roman" w:eastAsia="宋体" w:cs="Times New Roman"/>
                <w:color w:val="auto"/>
                <w:sz w:val="24"/>
                <w:szCs w:val="24"/>
              </w:rPr>
              <w:t>平方米</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购置钢化玻璃生产线、中空玻璃生产线等配套设备，并配套环保设施及公用工程等内容，将形成</w:t>
            </w:r>
            <w:r>
              <w:rPr>
                <w:rFonts w:hint="default" w:ascii="Times New Roman" w:hAnsi="Times New Roman" w:eastAsia="宋体" w:cs="Times New Roman"/>
                <w:color w:val="auto"/>
                <w:sz w:val="24"/>
                <w:szCs w:val="24"/>
                <w:lang w:eastAsia="zh-CN"/>
              </w:rPr>
              <w:t>年产</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eastAsia="zh-CN"/>
              </w:rPr>
              <w:t>0万平方米特种玻璃</w:t>
            </w:r>
            <w:r>
              <w:rPr>
                <w:rFonts w:hint="default" w:ascii="Times New Roman" w:hAnsi="Times New Roman" w:eastAsia="宋体" w:cs="Times New Roman"/>
                <w:color w:val="auto"/>
                <w:sz w:val="24"/>
                <w:szCs w:val="24"/>
              </w:rPr>
              <w:t>的生产能力。</w:t>
            </w:r>
          </w:p>
          <w:p w14:paraId="11FFC587">
            <w:pPr>
              <w:spacing w:line="480" w:lineRule="exact"/>
              <w:jc w:val="center"/>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val="zh-CN" w:eastAsia="zh-CN"/>
              </w:rPr>
              <w:t>表2-1</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lang w:val="zh-CN" w:eastAsia="zh-CN"/>
              </w:rPr>
              <w:t>工程内容组成一览表</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9"/>
              <w:gridCol w:w="1792"/>
              <w:gridCol w:w="6193"/>
            </w:tblGrid>
            <w:tr w14:paraId="2E1DF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tcBorders>
                    <w:tl2br w:val="nil"/>
                    <w:tr2bl w:val="nil"/>
                  </w:tcBorders>
                  <w:noWrap w:val="0"/>
                  <w:vAlign w:val="center"/>
                </w:tcPr>
                <w:p w14:paraId="71693A1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工程</w:t>
                  </w:r>
                </w:p>
                <w:p w14:paraId="495EA5F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类别</w:t>
                  </w:r>
                </w:p>
              </w:tc>
              <w:tc>
                <w:tcPr>
                  <w:tcW w:w="987" w:type="pct"/>
                  <w:tcBorders>
                    <w:tl2br w:val="nil"/>
                    <w:tr2bl w:val="nil"/>
                  </w:tcBorders>
                  <w:noWrap w:val="0"/>
                  <w:vAlign w:val="center"/>
                </w:tcPr>
                <w:p w14:paraId="76A1960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单项工</w:t>
                  </w:r>
                </w:p>
                <w:p w14:paraId="625295C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程名称</w:t>
                  </w:r>
                </w:p>
              </w:tc>
              <w:tc>
                <w:tcPr>
                  <w:tcW w:w="3412" w:type="pct"/>
                  <w:tcBorders>
                    <w:tl2br w:val="nil"/>
                    <w:tr2bl w:val="nil"/>
                  </w:tcBorders>
                  <w:noWrap w:val="0"/>
                  <w:vAlign w:val="center"/>
                </w:tcPr>
                <w:p w14:paraId="1B3AB41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工程内容及规模</w:t>
                  </w:r>
                </w:p>
              </w:tc>
            </w:tr>
            <w:tr w14:paraId="4B1502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restart"/>
                  <w:tcBorders>
                    <w:tl2br w:val="nil"/>
                    <w:tr2bl w:val="nil"/>
                  </w:tcBorders>
                  <w:noWrap w:val="0"/>
                  <w:vAlign w:val="center"/>
                </w:tcPr>
                <w:p w14:paraId="60B6D5A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主体</w:t>
                  </w:r>
                </w:p>
                <w:p w14:paraId="78FE81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工程</w:t>
                  </w:r>
                </w:p>
              </w:tc>
              <w:tc>
                <w:tcPr>
                  <w:tcW w:w="987" w:type="pct"/>
                  <w:tcBorders>
                    <w:tl2br w:val="nil"/>
                    <w:tr2bl w:val="nil"/>
                  </w:tcBorders>
                  <w:noWrap w:val="0"/>
                  <w:vAlign w:val="center"/>
                </w:tcPr>
                <w:p w14:paraId="1D5DF5D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eastAsia" w:cs="Times New Roman"/>
                      <w:color w:val="000000"/>
                      <w:kern w:val="2"/>
                      <w:sz w:val="21"/>
                      <w:szCs w:val="21"/>
                      <w:lang w:val="en-US" w:eastAsia="zh-CN" w:bidi="ar"/>
                    </w:rPr>
                    <w:t>钢化玻璃加工线</w:t>
                  </w:r>
                </w:p>
              </w:tc>
              <w:tc>
                <w:tcPr>
                  <w:tcW w:w="3412" w:type="pct"/>
                  <w:tcBorders>
                    <w:tl2br w:val="nil"/>
                    <w:tr2bl w:val="nil"/>
                  </w:tcBorders>
                  <w:noWrap w:val="0"/>
                  <w:vAlign w:val="center"/>
                </w:tcPr>
                <w:p w14:paraId="1B18A71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eastAsia="宋体" w:cs="Times New Roman"/>
                      <w:color w:val="000000"/>
                      <w:kern w:val="2"/>
                      <w:sz w:val="21"/>
                      <w:szCs w:val="21"/>
                      <w:lang w:val="en-US" w:eastAsia="zh-CN" w:bidi="ar"/>
                    </w:rPr>
                    <w:t>购置</w:t>
                  </w:r>
                  <w:r>
                    <w:rPr>
                      <w:rFonts w:hint="eastAsia" w:cs="Times New Roman"/>
                      <w:color w:val="000000"/>
                      <w:kern w:val="2"/>
                      <w:sz w:val="21"/>
                      <w:szCs w:val="21"/>
                      <w:lang w:val="en-US" w:eastAsia="zh-CN" w:bidi="ar"/>
                    </w:rPr>
                    <w:t>切割</w:t>
                  </w:r>
                  <w:r>
                    <w:rPr>
                      <w:rFonts w:hint="default" w:ascii="Times New Roman" w:hAnsi="Times New Roman" w:eastAsia="宋体" w:cs="Times New Roman"/>
                      <w:color w:val="000000"/>
                      <w:kern w:val="2"/>
                      <w:sz w:val="21"/>
                      <w:szCs w:val="21"/>
                      <w:lang w:val="en-US" w:eastAsia="zh-CN" w:bidi="ar"/>
                    </w:rPr>
                    <w:t>机、</w:t>
                  </w:r>
                  <w:r>
                    <w:rPr>
                      <w:rFonts w:hint="eastAsia" w:cs="Times New Roman"/>
                      <w:color w:val="000000"/>
                      <w:kern w:val="2"/>
                      <w:sz w:val="21"/>
                      <w:szCs w:val="21"/>
                      <w:lang w:val="en-US" w:eastAsia="zh-CN" w:bidi="ar"/>
                    </w:rPr>
                    <w:t>打磨机</w:t>
                  </w:r>
                  <w:r>
                    <w:rPr>
                      <w:rFonts w:hint="default" w:ascii="Times New Roman" w:hAnsi="Times New Roman" w:eastAsia="宋体" w:cs="Times New Roman"/>
                      <w:color w:val="000000"/>
                      <w:kern w:val="2"/>
                      <w:sz w:val="21"/>
                      <w:szCs w:val="21"/>
                      <w:lang w:val="en-US" w:eastAsia="zh-CN" w:bidi="ar"/>
                    </w:rPr>
                    <w:t>、清洗机、钢化炉</w:t>
                  </w:r>
                  <w:r>
                    <w:rPr>
                      <w:rFonts w:hint="eastAsia" w:cs="Times New Roman"/>
                      <w:color w:val="000000"/>
                      <w:kern w:val="2"/>
                      <w:sz w:val="21"/>
                      <w:szCs w:val="21"/>
                      <w:lang w:val="en-US" w:eastAsia="zh-CN" w:bidi="ar"/>
                    </w:rPr>
                    <w:t>等设备</w:t>
                  </w:r>
                  <w:r>
                    <w:rPr>
                      <w:rFonts w:hint="default" w:ascii="Times New Roman" w:hAnsi="Times New Roman" w:eastAsia="宋体" w:cs="Times New Roman"/>
                      <w:color w:val="000000"/>
                      <w:kern w:val="2"/>
                      <w:sz w:val="21"/>
                      <w:szCs w:val="21"/>
                      <w:lang w:val="en-US" w:eastAsia="zh-CN" w:bidi="ar"/>
                    </w:rPr>
                    <w:t>，</w:t>
                  </w:r>
                  <w:r>
                    <w:rPr>
                      <w:rFonts w:hint="eastAsia" w:cs="Times New Roman"/>
                      <w:color w:val="000000"/>
                      <w:kern w:val="2"/>
                      <w:sz w:val="21"/>
                      <w:szCs w:val="21"/>
                      <w:lang w:val="en-US" w:eastAsia="zh-CN" w:bidi="ar"/>
                    </w:rPr>
                    <w:t>在现有厂房内布置1条钢化玻璃加工线，建筑面积2000</w:t>
                  </w:r>
                  <w:r>
                    <w:rPr>
                      <w:rFonts w:hint="default" w:ascii="Times New Roman" w:hAnsi="Times New Roman" w:eastAsia="宋体" w:cs="Times New Roman"/>
                      <w:color w:val="000000"/>
                      <w:kern w:val="2"/>
                      <w:sz w:val="21"/>
                      <w:szCs w:val="21"/>
                      <w:lang w:val="en-US" w:eastAsia="zh-CN" w:bidi="ar"/>
                    </w:rPr>
                    <w:t>m</w:t>
                  </w:r>
                  <w:r>
                    <w:rPr>
                      <w:rFonts w:hint="default" w:ascii="Times New Roman" w:hAnsi="Times New Roman" w:eastAsia="宋体" w:cs="Times New Roman"/>
                      <w:color w:val="000000"/>
                      <w:kern w:val="2"/>
                      <w:sz w:val="21"/>
                      <w:szCs w:val="21"/>
                      <w:vertAlign w:val="superscript"/>
                      <w:lang w:val="en-US" w:eastAsia="zh-CN" w:bidi="ar"/>
                    </w:rPr>
                    <w:t>2</w:t>
                  </w:r>
                  <w:r>
                    <w:rPr>
                      <w:rFonts w:hint="eastAsia"/>
                      <w:sz w:val="21"/>
                      <w:szCs w:val="21"/>
                    </w:rPr>
                    <w:t>。</w:t>
                  </w:r>
                  <w:r>
                    <w:rPr>
                      <w:rFonts w:hint="eastAsia"/>
                      <w:sz w:val="21"/>
                      <w:szCs w:val="21"/>
                      <w:lang w:eastAsia="zh-CN"/>
                    </w:rPr>
                    <w:t>生产能力</w:t>
                  </w:r>
                  <w:r>
                    <w:rPr>
                      <w:rFonts w:hint="eastAsia"/>
                      <w:sz w:val="21"/>
                      <w:szCs w:val="21"/>
                      <w:lang w:val="en-US" w:eastAsia="zh-CN"/>
                    </w:rPr>
                    <w:t>52万</w:t>
                  </w:r>
                  <w:r>
                    <w:rPr>
                      <w:rFonts w:hint="default" w:ascii="Times New Roman" w:hAnsi="Times New Roman" w:eastAsia="宋体" w:cs="Times New Roman"/>
                      <w:color w:val="000000"/>
                      <w:kern w:val="2"/>
                      <w:sz w:val="21"/>
                      <w:szCs w:val="21"/>
                      <w:highlight w:val="none"/>
                      <w:lang w:val="en-US" w:eastAsia="zh-CN" w:bidi="ar"/>
                    </w:rPr>
                    <w:t>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lang w:val="en-US" w:eastAsia="zh-CN"/>
                    </w:rPr>
                    <w:t>，其中8万</w:t>
                  </w:r>
                  <w:r>
                    <w:rPr>
                      <w:rFonts w:hint="default" w:ascii="Times New Roman" w:hAnsi="Times New Roman" w:eastAsia="宋体" w:cs="Times New Roman"/>
                      <w:color w:val="000000"/>
                      <w:kern w:val="2"/>
                      <w:sz w:val="21"/>
                      <w:szCs w:val="21"/>
                      <w:highlight w:val="none"/>
                      <w:lang w:val="en-US" w:eastAsia="zh-CN" w:bidi="ar"/>
                    </w:rPr>
                    <w:t>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vertAlign w:val="baseline"/>
                      <w:lang w:val="en-US" w:eastAsia="zh-CN" w:bidi="ar"/>
                    </w:rPr>
                    <w:t>为钢化玻璃产品，44万</w:t>
                  </w:r>
                  <w:r>
                    <w:rPr>
                      <w:rFonts w:hint="default" w:ascii="Times New Roman" w:hAnsi="Times New Roman" w:eastAsia="宋体" w:cs="Times New Roman"/>
                      <w:color w:val="000000"/>
                      <w:kern w:val="2"/>
                      <w:sz w:val="21"/>
                      <w:szCs w:val="21"/>
                      <w:highlight w:val="none"/>
                      <w:lang w:val="en-US" w:eastAsia="zh-CN" w:bidi="ar"/>
                    </w:rPr>
                    <w:t>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vertAlign w:val="baseline"/>
                      <w:lang w:val="en-US" w:eastAsia="zh-CN" w:bidi="ar"/>
                    </w:rPr>
                    <w:t>作为本项目生产中空玻璃原料。</w:t>
                  </w:r>
                </w:p>
              </w:tc>
            </w:tr>
            <w:tr w14:paraId="6432CB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161612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203E65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中空玻璃加工线</w:t>
                  </w:r>
                </w:p>
              </w:tc>
              <w:tc>
                <w:tcPr>
                  <w:tcW w:w="3412" w:type="pct"/>
                  <w:tcBorders>
                    <w:tl2br w:val="nil"/>
                    <w:tr2bl w:val="nil"/>
                  </w:tcBorders>
                  <w:noWrap w:val="0"/>
                  <w:vAlign w:val="center"/>
                </w:tcPr>
                <w:p w14:paraId="440F25D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kern w:val="2"/>
                      <w:sz w:val="21"/>
                      <w:szCs w:val="21"/>
                      <w:lang w:val="en-US" w:eastAsia="zh-CN" w:bidi="ar"/>
                    </w:rPr>
                    <w:t>购置</w:t>
                  </w:r>
                  <w:r>
                    <w:rPr>
                      <w:rFonts w:hint="eastAsia" w:cs="Times New Roman"/>
                      <w:color w:val="000000"/>
                      <w:kern w:val="2"/>
                      <w:sz w:val="21"/>
                      <w:szCs w:val="21"/>
                      <w:lang w:val="en-US" w:eastAsia="zh-CN" w:bidi="ar"/>
                    </w:rPr>
                    <w:t>中空玻璃生产线一套，包括</w:t>
                  </w:r>
                  <w:r>
                    <w:rPr>
                      <w:rFonts w:hint="default" w:ascii="Times New Roman" w:hAnsi="Times New Roman" w:eastAsia="宋体" w:cs="Times New Roman"/>
                      <w:color w:val="000000"/>
                      <w:kern w:val="2"/>
                      <w:sz w:val="21"/>
                      <w:szCs w:val="21"/>
                      <w:lang w:val="en-US" w:eastAsia="zh-CN" w:bidi="ar"/>
                    </w:rPr>
                    <w:t>铝条自动</w:t>
                  </w:r>
                  <w:r>
                    <w:rPr>
                      <w:rFonts w:hint="eastAsia" w:cs="Times New Roman"/>
                      <w:color w:val="000000"/>
                      <w:kern w:val="2"/>
                      <w:sz w:val="21"/>
                      <w:szCs w:val="21"/>
                      <w:lang w:val="en-US" w:eastAsia="zh-CN" w:bidi="ar"/>
                    </w:rPr>
                    <w:t>折弯机</w:t>
                  </w:r>
                  <w:r>
                    <w:rPr>
                      <w:rFonts w:hint="default" w:ascii="Times New Roman" w:hAnsi="Times New Roman" w:eastAsia="宋体" w:cs="Times New Roman"/>
                      <w:color w:val="000000"/>
                      <w:kern w:val="2"/>
                      <w:sz w:val="21"/>
                      <w:szCs w:val="21"/>
                      <w:lang w:val="en-US" w:eastAsia="zh-CN" w:bidi="ar"/>
                    </w:rPr>
                    <w:t>、涂胶机、</w:t>
                  </w:r>
                  <w:r>
                    <w:rPr>
                      <w:rFonts w:hint="eastAsia" w:cs="Times New Roman"/>
                      <w:color w:val="000000"/>
                      <w:kern w:val="2"/>
                      <w:sz w:val="21"/>
                      <w:szCs w:val="21"/>
                      <w:lang w:val="en-US" w:eastAsia="zh-CN" w:bidi="ar"/>
                    </w:rPr>
                    <w:t>封胶机、分子筛灌装机</w:t>
                  </w:r>
                  <w:r>
                    <w:rPr>
                      <w:rFonts w:hint="default" w:ascii="Times New Roman" w:hAnsi="Times New Roman" w:eastAsia="宋体" w:cs="Times New Roman"/>
                      <w:color w:val="000000"/>
                      <w:kern w:val="2"/>
                      <w:sz w:val="21"/>
                      <w:szCs w:val="21"/>
                      <w:lang w:val="en-US" w:eastAsia="zh-CN" w:bidi="ar"/>
                    </w:rPr>
                    <w:t>等设备，在现有</w:t>
                  </w:r>
                  <w:r>
                    <w:rPr>
                      <w:rFonts w:hint="eastAsia" w:cs="Times New Roman"/>
                      <w:color w:val="000000"/>
                      <w:kern w:val="2"/>
                      <w:sz w:val="21"/>
                      <w:szCs w:val="21"/>
                      <w:lang w:val="en-US" w:eastAsia="zh-CN" w:bidi="ar"/>
                    </w:rPr>
                    <w:t>厂房内布置</w:t>
                  </w:r>
                  <w:r>
                    <w:rPr>
                      <w:rFonts w:hint="eastAsia" w:ascii="Times New Roman" w:hAnsi="Times New Roman" w:eastAsia="宋体" w:cs="Times New Roman"/>
                      <w:color w:val="000000"/>
                      <w:kern w:val="2"/>
                      <w:sz w:val="21"/>
                      <w:szCs w:val="21"/>
                      <w:lang w:val="en-US" w:eastAsia="zh-CN" w:bidi="ar"/>
                    </w:rPr>
                    <w:t>1</w:t>
                  </w:r>
                  <w:r>
                    <w:rPr>
                      <w:rFonts w:hint="default" w:ascii="Times New Roman" w:hAnsi="Times New Roman" w:eastAsia="宋体" w:cs="Times New Roman"/>
                      <w:color w:val="000000"/>
                      <w:kern w:val="2"/>
                      <w:sz w:val="21"/>
                      <w:szCs w:val="21"/>
                      <w:lang w:val="en-US" w:eastAsia="zh-CN" w:bidi="ar"/>
                    </w:rPr>
                    <w:t>条中空玻璃加工线，</w:t>
                  </w:r>
                  <w:r>
                    <w:rPr>
                      <w:rFonts w:hint="eastAsia" w:ascii="Times New Roman" w:hAnsi="Times New Roman" w:eastAsia="宋体" w:cs="Times New Roman"/>
                      <w:color w:val="000000"/>
                      <w:kern w:val="2"/>
                      <w:sz w:val="21"/>
                      <w:szCs w:val="21"/>
                      <w:lang w:val="en-US" w:eastAsia="zh-CN" w:bidi="ar"/>
                    </w:rPr>
                    <w:t>建筑</w:t>
                  </w:r>
                  <w:r>
                    <w:rPr>
                      <w:rFonts w:hint="default" w:ascii="Times New Roman" w:hAnsi="Times New Roman" w:eastAsia="宋体" w:cs="Times New Roman"/>
                      <w:color w:val="000000"/>
                      <w:kern w:val="2"/>
                      <w:sz w:val="21"/>
                      <w:szCs w:val="21"/>
                      <w:lang w:val="en-US" w:eastAsia="zh-CN" w:bidi="ar"/>
                    </w:rPr>
                    <w:t>面积</w:t>
                  </w:r>
                  <w:r>
                    <w:rPr>
                      <w:rFonts w:hint="eastAsia" w:cs="Times New Roman"/>
                      <w:color w:val="000000"/>
                      <w:kern w:val="2"/>
                      <w:sz w:val="21"/>
                      <w:szCs w:val="21"/>
                      <w:lang w:val="en-US" w:eastAsia="zh-CN" w:bidi="ar"/>
                    </w:rPr>
                    <w:t>20</w:t>
                  </w:r>
                  <w:r>
                    <w:rPr>
                      <w:rFonts w:hint="default" w:ascii="Times New Roman" w:hAnsi="Times New Roman" w:eastAsia="宋体" w:cs="Times New Roman"/>
                      <w:color w:val="000000"/>
                      <w:kern w:val="2"/>
                      <w:sz w:val="21"/>
                      <w:szCs w:val="21"/>
                      <w:lang w:val="en-US" w:eastAsia="zh-CN" w:bidi="ar"/>
                    </w:rPr>
                    <w:t>00m</w:t>
                  </w:r>
                  <w:r>
                    <w:rPr>
                      <w:rFonts w:hint="default" w:ascii="Times New Roman" w:hAnsi="Times New Roman" w:eastAsia="宋体" w:cs="Times New Roman"/>
                      <w:color w:val="000000"/>
                      <w:kern w:val="2"/>
                      <w:sz w:val="21"/>
                      <w:szCs w:val="21"/>
                      <w:vertAlign w:val="superscript"/>
                      <w:lang w:val="en-US" w:eastAsia="zh-CN" w:bidi="ar"/>
                    </w:rPr>
                    <w:t>2</w:t>
                  </w:r>
                  <w:r>
                    <w:rPr>
                      <w:rFonts w:hint="eastAsia"/>
                    </w:rPr>
                    <w:t>。</w:t>
                  </w:r>
                  <w:r>
                    <w:rPr>
                      <w:rFonts w:hint="eastAsia"/>
                      <w:lang w:eastAsia="zh-CN"/>
                    </w:rPr>
                    <w:t>年生产中空玻璃</w:t>
                  </w:r>
                  <w:r>
                    <w:rPr>
                      <w:rFonts w:hint="eastAsia"/>
                      <w:lang w:val="en-US" w:eastAsia="zh-CN"/>
                    </w:rPr>
                    <w:t>22万</w:t>
                  </w:r>
                  <w:r>
                    <w:rPr>
                      <w:rFonts w:hint="default" w:ascii="Times New Roman" w:hAnsi="Times New Roman" w:eastAsia="宋体" w:cs="Times New Roman"/>
                      <w:color w:val="000000"/>
                      <w:kern w:val="2"/>
                      <w:sz w:val="24"/>
                      <w:szCs w:val="24"/>
                      <w:highlight w:val="none"/>
                      <w:lang w:val="en-US" w:eastAsia="zh-CN" w:bidi="ar"/>
                    </w:rPr>
                    <w:t>m</w:t>
                  </w:r>
                  <w:r>
                    <w:rPr>
                      <w:rFonts w:hint="default" w:ascii="Times New Roman" w:hAnsi="Times New Roman" w:eastAsia="宋体" w:cs="Times New Roman"/>
                      <w:color w:val="000000"/>
                      <w:kern w:val="2"/>
                      <w:sz w:val="24"/>
                      <w:szCs w:val="24"/>
                      <w:highlight w:val="none"/>
                      <w:vertAlign w:val="superscript"/>
                      <w:lang w:val="en-US" w:eastAsia="zh-CN" w:bidi="ar"/>
                    </w:rPr>
                    <w:t>2</w:t>
                  </w:r>
                  <w:r>
                    <w:rPr>
                      <w:rFonts w:hint="eastAsia"/>
                    </w:rPr>
                    <w:t>。</w:t>
                  </w:r>
                </w:p>
              </w:tc>
            </w:tr>
            <w:tr w14:paraId="7D65F8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tcBorders>
                    <w:tl2br w:val="nil"/>
                    <w:tr2bl w:val="nil"/>
                  </w:tcBorders>
                  <w:noWrap w:val="0"/>
                  <w:vAlign w:val="center"/>
                </w:tcPr>
                <w:p w14:paraId="383897E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辅助</w:t>
                  </w:r>
                </w:p>
                <w:p w14:paraId="39E8834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工程</w:t>
                  </w:r>
                </w:p>
              </w:tc>
              <w:tc>
                <w:tcPr>
                  <w:tcW w:w="987" w:type="pct"/>
                  <w:tcBorders>
                    <w:tl2br w:val="nil"/>
                    <w:tr2bl w:val="nil"/>
                  </w:tcBorders>
                  <w:noWrap w:val="0"/>
                  <w:vAlign w:val="center"/>
                </w:tcPr>
                <w:p w14:paraId="6FF36ED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办公</w:t>
                  </w:r>
                  <w:r>
                    <w:rPr>
                      <w:rFonts w:hint="eastAsia" w:cs="Times New Roman"/>
                      <w:color w:val="000000"/>
                      <w:kern w:val="2"/>
                      <w:sz w:val="21"/>
                      <w:szCs w:val="21"/>
                      <w:lang w:val="en-US" w:eastAsia="zh-CN" w:bidi="ar"/>
                    </w:rPr>
                    <w:t>楼</w:t>
                  </w:r>
                </w:p>
              </w:tc>
              <w:tc>
                <w:tcPr>
                  <w:tcW w:w="3412" w:type="pct"/>
                  <w:tcBorders>
                    <w:tl2br w:val="nil"/>
                    <w:tr2bl w:val="nil"/>
                  </w:tcBorders>
                  <w:noWrap w:val="0"/>
                  <w:vAlign w:val="center"/>
                </w:tcPr>
                <w:p w14:paraId="4A2AFE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lang w:eastAsia="zh-CN"/>
                    </w:rPr>
                  </w:pPr>
                  <w:r>
                    <w:rPr>
                      <w:rFonts w:hint="eastAsia" w:cs="Times New Roman"/>
                      <w:color w:val="000000"/>
                      <w:kern w:val="2"/>
                      <w:sz w:val="21"/>
                      <w:szCs w:val="21"/>
                      <w:highlight w:val="none"/>
                      <w:lang w:val="en-US" w:eastAsia="zh-CN"/>
                    </w:rPr>
                    <w:t>用于员工办公，建筑面积2324.82</w:t>
                  </w:r>
                  <w:r>
                    <w:rPr>
                      <w:rFonts w:hint="default" w:ascii="Times New Roman" w:hAnsi="Times New Roman" w:eastAsia="宋体" w:cs="Times New Roman"/>
                      <w:color w:val="000000"/>
                      <w:kern w:val="2"/>
                      <w:sz w:val="21"/>
                      <w:szCs w:val="21"/>
                      <w:highlight w:val="none"/>
                      <w:lang w:val="en-US" w:eastAsia="zh-CN" w:bidi="ar"/>
                    </w:rPr>
                    <w:t>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lang w:val="en-US" w:eastAsia="zh-CN"/>
                    </w:rPr>
                    <w:t>。</w:t>
                  </w:r>
                </w:p>
              </w:tc>
            </w:tr>
            <w:tr w14:paraId="0DF19D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restart"/>
                  <w:tcBorders>
                    <w:tl2br w:val="nil"/>
                    <w:tr2bl w:val="nil"/>
                  </w:tcBorders>
                  <w:noWrap w:val="0"/>
                  <w:vAlign w:val="center"/>
                </w:tcPr>
                <w:p w14:paraId="4EB5E11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储运</w:t>
                  </w:r>
                </w:p>
                <w:p w14:paraId="24561F9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工程</w:t>
                  </w:r>
                </w:p>
              </w:tc>
              <w:tc>
                <w:tcPr>
                  <w:tcW w:w="987" w:type="pct"/>
                  <w:tcBorders>
                    <w:tl2br w:val="nil"/>
                    <w:tr2bl w:val="nil"/>
                  </w:tcBorders>
                  <w:noWrap w:val="0"/>
                  <w:vAlign w:val="center"/>
                </w:tcPr>
                <w:p w14:paraId="6A6F338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原料库</w:t>
                  </w:r>
                </w:p>
              </w:tc>
              <w:tc>
                <w:tcPr>
                  <w:tcW w:w="3412" w:type="pct"/>
                  <w:tcBorders>
                    <w:tl2br w:val="nil"/>
                    <w:tr2bl w:val="nil"/>
                  </w:tcBorders>
                  <w:noWrap w:val="0"/>
                  <w:vAlign w:val="center"/>
                </w:tcPr>
                <w:p w14:paraId="75D236F7">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highlight w:val="none"/>
                      <w:lang w:val="en-US"/>
                    </w:rPr>
                  </w:pPr>
                  <w:r>
                    <w:rPr>
                      <w:rFonts w:hint="eastAsia" w:cs="Times New Roman"/>
                      <w:color w:val="000000"/>
                      <w:kern w:val="2"/>
                      <w:sz w:val="21"/>
                      <w:szCs w:val="21"/>
                      <w:highlight w:val="none"/>
                      <w:lang w:val="en-US" w:eastAsia="zh-CN" w:bidi="ar"/>
                    </w:rPr>
                    <w:t>位于厂房东北侧，用于原材料的暂存，</w:t>
                  </w:r>
                  <w:r>
                    <w:rPr>
                      <w:rFonts w:hint="eastAsia" w:ascii="Times New Roman" w:hAnsi="Times New Roman" w:eastAsia="宋体" w:cs="Times New Roman"/>
                      <w:color w:val="000000"/>
                      <w:kern w:val="2"/>
                      <w:sz w:val="21"/>
                      <w:szCs w:val="21"/>
                      <w:highlight w:val="none"/>
                      <w:lang w:val="en-US" w:eastAsia="zh-CN" w:bidi="ar"/>
                    </w:rPr>
                    <w:t>建筑</w:t>
                  </w:r>
                  <w:r>
                    <w:rPr>
                      <w:rFonts w:hint="default" w:ascii="Times New Roman" w:hAnsi="Times New Roman" w:eastAsia="宋体" w:cs="Times New Roman"/>
                      <w:color w:val="000000"/>
                      <w:kern w:val="2"/>
                      <w:sz w:val="21"/>
                      <w:szCs w:val="21"/>
                      <w:highlight w:val="none"/>
                      <w:lang w:val="en-US" w:eastAsia="zh-CN" w:bidi="ar"/>
                    </w:rPr>
                    <w:t>面积</w:t>
                  </w:r>
                  <w:r>
                    <w:rPr>
                      <w:rFonts w:hint="eastAsia" w:cs="Times New Roman"/>
                      <w:color w:val="000000"/>
                      <w:kern w:val="2"/>
                      <w:sz w:val="21"/>
                      <w:szCs w:val="21"/>
                      <w:highlight w:val="none"/>
                      <w:lang w:val="en-US" w:eastAsia="zh-CN" w:bidi="ar"/>
                    </w:rPr>
                    <w:t>20</w:t>
                  </w:r>
                  <w:r>
                    <w:rPr>
                      <w:rFonts w:hint="default" w:ascii="Times New Roman" w:hAnsi="Times New Roman" w:eastAsia="宋体" w:cs="Times New Roman"/>
                      <w:color w:val="000000"/>
                      <w:kern w:val="2"/>
                      <w:sz w:val="21"/>
                      <w:szCs w:val="21"/>
                      <w:highlight w:val="none"/>
                      <w:lang w:val="en-US" w:eastAsia="zh-CN" w:bidi="ar"/>
                    </w:rPr>
                    <w:t>00m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lang w:val="en-US" w:eastAsia="zh-CN"/>
                    </w:rPr>
                    <w:t>。</w:t>
                  </w:r>
                </w:p>
              </w:tc>
            </w:tr>
            <w:tr w14:paraId="59025D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109D66C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p>
              </w:tc>
              <w:tc>
                <w:tcPr>
                  <w:tcW w:w="987" w:type="pct"/>
                  <w:tcBorders>
                    <w:tl2br w:val="nil"/>
                    <w:tr2bl w:val="nil"/>
                  </w:tcBorders>
                  <w:noWrap w:val="0"/>
                  <w:vAlign w:val="center"/>
                </w:tcPr>
                <w:p w14:paraId="02669AB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eastAsia" w:cs="Times New Roman"/>
                      <w:color w:val="000000"/>
                      <w:kern w:val="2"/>
                      <w:sz w:val="21"/>
                      <w:szCs w:val="21"/>
                      <w:lang w:val="en-US" w:eastAsia="zh-CN" w:bidi="ar"/>
                    </w:rPr>
                    <w:t>半成品库</w:t>
                  </w:r>
                </w:p>
              </w:tc>
              <w:tc>
                <w:tcPr>
                  <w:tcW w:w="3412" w:type="pct"/>
                  <w:tcBorders>
                    <w:tl2br w:val="nil"/>
                    <w:tr2bl w:val="nil"/>
                  </w:tcBorders>
                  <w:noWrap w:val="0"/>
                  <w:vAlign w:val="center"/>
                </w:tcPr>
                <w:p w14:paraId="07F11DD7">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cs="Times New Roman"/>
                      <w:color w:val="000000"/>
                      <w:kern w:val="2"/>
                      <w:sz w:val="21"/>
                      <w:szCs w:val="21"/>
                      <w:highlight w:val="none"/>
                      <w:lang w:val="en-US" w:eastAsia="zh-CN" w:bidi="ar"/>
                    </w:rPr>
                  </w:pPr>
                  <w:r>
                    <w:rPr>
                      <w:rFonts w:hint="eastAsia" w:cs="Times New Roman"/>
                      <w:color w:val="000000"/>
                      <w:kern w:val="2"/>
                      <w:sz w:val="21"/>
                      <w:szCs w:val="21"/>
                      <w:highlight w:val="none"/>
                      <w:lang w:val="en-US" w:eastAsia="zh-CN" w:bidi="ar"/>
                    </w:rPr>
                    <w:t>位于厂房中间，建筑面积1000</w:t>
                  </w:r>
                  <w:r>
                    <w:rPr>
                      <w:rFonts w:hint="default" w:ascii="Times New Roman" w:hAnsi="Times New Roman" w:eastAsia="宋体" w:cs="Times New Roman"/>
                      <w:color w:val="000000"/>
                      <w:kern w:val="2"/>
                      <w:sz w:val="21"/>
                      <w:szCs w:val="21"/>
                      <w:highlight w:val="none"/>
                      <w:lang w:val="en-US" w:eastAsia="zh-CN" w:bidi="ar"/>
                    </w:rPr>
                    <w:t>m</w:t>
                  </w:r>
                  <w:r>
                    <w:rPr>
                      <w:rFonts w:hint="default" w:ascii="Times New Roman" w:hAnsi="Times New Roman" w:eastAsia="宋体" w:cs="Times New Roman"/>
                      <w:color w:val="000000"/>
                      <w:kern w:val="2"/>
                      <w:sz w:val="21"/>
                      <w:szCs w:val="21"/>
                      <w:highlight w:val="none"/>
                      <w:vertAlign w:val="superscript"/>
                      <w:lang w:val="en-US" w:eastAsia="zh-CN" w:bidi="ar"/>
                    </w:rPr>
                    <w:t>2</w:t>
                  </w:r>
                  <w:r>
                    <w:rPr>
                      <w:rFonts w:hint="eastAsia" w:cs="Times New Roman"/>
                      <w:color w:val="000000"/>
                      <w:kern w:val="2"/>
                      <w:sz w:val="21"/>
                      <w:szCs w:val="21"/>
                      <w:highlight w:val="none"/>
                      <w:lang w:val="en-US" w:eastAsia="zh-CN"/>
                    </w:rPr>
                    <w:t>，用于存放半成品</w:t>
                  </w:r>
                </w:p>
              </w:tc>
            </w:tr>
            <w:tr w14:paraId="7F4D36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39D20EE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493DE9C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成品仓库</w:t>
                  </w:r>
                </w:p>
              </w:tc>
              <w:tc>
                <w:tcPr>
                  <w:tcW w:w="3412" w:type="pct"/>
                  <w:tcBorders>
                    <w:tl2br w:val="nil"/>
                    <w:tr2bl w:val="nil"/>
                  </w:tcBorders>
                  <w:noWrap w:val="0"/>
                  <w:vAlign w:val="center"/>
                </w:tcPr>
                <w:p w14:paraId="22EFA24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eastAsia" w:cs="Times New Roman"/>
                      <w:color w:val="000000"/>
                      <w:kern w:val="2"/>
                      <w:sz w:val="21"/>
                      <w:szCs w:val="21"/>
                      <w:highlight w:val="none"/>
                      <w:lang w:val="en-US" w:eastAsia="zh-CN" w:bidi="ar"/>
                    </w:rPr>
                    <w:t>位于厂房南侧，</w:t>
                  </w:r>
                  <w:r>
                    <w:rPr>
                      <w:rFonts w:hint="eastAsia" w:cs="Times New Roman"/>
                      <w:color w:val="000000"/>
                      <w:kern w:val="2"/>
                      <w:sz w:val="21"/>
                      <w:szCs w:val="21"/>
                      <w:lang w:val="en-US" w:eastAsia="zh-CN" w:bidi="ar"/>
                    </w:rPr>
                    <w:t>用于成品暂存，</w:t>
                  </w:r>
                  <w:r>
                    <w:rPr>
                      <w:rFonts w:hint="eastAsia" w:ascii="Times New Roman" w:hAnsi="Times New Roman" w:eastAsia="宋体" w:cs="Times New Roman"/>
                      <w:color w:val="000000"/>
                      <w:kern w:val="2"/>
                      <w:sz w:val="21"/>
                      <w:szCs w:val="21"/>
                      <w:lang w:val="en-US" w:eastAsia="zh-CN" w:bidi="ar"/>
                    </w:rPr>
                    <w:t>建筑</w:t>
                  </w:r>
                  <w:r>
                    <w:rPr>
                      <w:rFonts w:hint="default" w:ascii="Times New Roman" w:hAnsi="Times New Roman" w:eastAsia="宋体" w:cs="Times New Roman"/>
                      <w:color w:val="000000"/>
                      <w:kern w:val="2"/>
                      <w:sz w:val="21"/>
                      <w:szCs w:val="21"/>
                      <w:lang w:val="en-US" w:eastAsia="zh-CN" w:bidi="ar"/>
                    </w:rPr>
                    <w:t>面积</w:t>
                  </w:r>
                  <w:r>
                    <w:rPr>
                      <w:rFonts w:hint="eastAsia" w:cs="Times New Roman"/>
                      <w:color w:val="000000"/>
                      <w:kern w:val="2"/>
                      <w:sz w:val="21"/>
                      <w:szCs w:val="21"/>
                      <w:lang w:val="en-US" w:eastAsia="zh-CN" w:bidi="ar"/>
                    </w:rPr>
                    <w:t>20</w:t>
                  </w:r>
                  <w:r>
                    <w:rPr>
                      <w:rFonts w:hint="default" w:ascii="Times New Roman" w:hAnsi="Times New Roman" w:eastAsia="宋体" w:cs="Times New Roman"/>
                      <w:color w:val="000000"/>
                      <w:kern w:val="2"/>
                      <w:sz w:val="21"/>
                      <w:szCs w:val="21"/>
                      <w:lang w:val="en-US" w:eastAsia="zh-CN" w:bidi="ar"/>
                    </w:rPr>
                    <w:t>00m</w:t>
                  </w:r>
                  <w:r>
                    <w:rPr>
                      <w:rFonts w:hint="default" w:ascii="Times New Roman" w:hAnsi="Times New Roman" w:eastAsia="宋体" w:cs="Times New Roman"/>
                      <w:color w:val="000000"/>
                      <w:kern w:val="2"/>
                      <w:sz w:val="21"/>
                      <w:szCs w:val="21"/>
                      <w:vertAlign w:val="superscript"/>
                      <w:lang w:val="en-US" w:eastAsia="zh-CN" w:bidi="ar"/>
                    </w:rPr>
                    <w:t>2</w:t>
                  </w:r>
                </w:p>
              </w:tc>
            </w:tr>
            <w:tr w14:paraId="3937D9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restart"/>
                  <w:tcBorders>
                    <w:tl2br w:val="nil"/>
                    <w:tr2bl w:val="nil"/>
                  </w:tcBorders>
                  <w:noWrap w:val="0"/>
                  <w:vAlign w:val="center"/>
                </w:tcPr>
                <w:p w14:paraId="4994381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公用工程</w:t>
                  </w:r>
                </w:p>
              </w:tc>
              <w:tc>
                <w:tcPr>
                  <w:tcW w:w="987" w:type="pct"/>
                  <w:tcBorders>
                    <w:tl2br w:val="nil"/>
                    <w:tr2bl w:val="nil"/>
                  </w:tcBorders>
                  <w:noWrap w:val="0"/>
                  <w:vAlign w:val="center"/>
                </w:tcPr>
                <w:p w14:paraId="1005A71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供电</w:t>
                  </w:r>
                </w:p>
              </w:tc>
              <w:tc>
                <w:tcPr>
                  <w:tcW w:w="3412" w:type="pct"/>
                  <w:tcBorders>
                    <w:tl2br w:val="nil"/>
                    <w:tr2bl w:val="nil"/>
                  </w:tcBorders>
                  <w:noWrap w:val="0"/>
                  <w:vAlign w:val="center"/>
                </w:tcPr>
                <w:p w14:paraId="33ADE8B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highlight w:val="none"/>
                    </w:rPr>
                  </w:pPr>
                  <w:r>
                    <w:rPr>
                      <w:rFonts w:hint="eastAsia" w:cs="Times New Roman"/>
                      <w:color w:val="000000"/>
                      <w:kern w:val="2"/>
                      <w:sz w:val="21"/>
                      <w:szCs w:val="21"/>
                      <w:highlight w:val="none"/>
                      <w:lang w:val="en-US" w:eastAsia="zh-CN" w:bidi="ar"/>
                    </w:rPr>
                    <w:t>利用租用厂房内原有配电室，</w:t>
                  </w:r>
                  <w:r>
                    <w:rPr>
                      <w:rFonts w:hint="default" w:ascii="Times New Roman" w:hAnsi="Times New Roman" w:eastAsia="宋体" w:cs="Times New Roman"/>
                      <w:color w:val="000000"/>
                      <w:kern w:val="2"/>
                      <w:sz w:val="21"/>
                      <w:szCs w:val="21"/>
                      <w:highlight w:val="none"/>
                      <w:lang w:val="en-US" w:eastAsia="zh-CN" w:bidi="ar"/>
                    </w:rPr>
                    <w:t>用电量</w:t>
                  </w:r>
                  <w:r>
                    <w:rPr>
                      <w:rFonts w:hint="eastAsia" w:cs="Times New Roman"/>
                      <w:color w:val="000000"/>
                      <w:kern w:val="2"/>
                      <w:sz w:val="21"/>
                      <w:szCs w:val="21"/>
                      <w:highlight w:val="none"/>
                      <w:lang w:val="en-US" w:eastAsia="zh-CN" w:bidi="ar"/>
                    </w:rPr>
                    <w:t>150</w:t>
                  </w:r>
                  <w:r>
                    <w:rPr>
                      <w:rFonts w:hint="default" w:ascii="Times New Roman" w:hAnsi="Times New Roman" w:eastAsia="宋体" w:cs="Times New Roman"/>
                      <w:color w:val="000000"/>
                      <w:kern w:val="2"/>
                      <w:sz w:val="21"/>
                      <w:szCs w:val="21"/>
                      <w:highlight w:val="none"/>
                      <w:lang w:val="en-US" w:eastAsia="zh-CN" w:bidi="ar"/>
                    </w:rPr>
                    <w:t>万KW·h/年</w:t>
                  </w:r>
                </w:p>
              </w:tc>
            </w:tr>
            <w:tr w14:paraId="2A881C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7859C97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77329A2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供水</w:t>
                  </w:r>
                </w:p>
              </w:tc>
              <w:tc>
                <w:tcPr>
                  <w:tcW w:w="3412" w:type="pct"/>
                  <w:tcBorders>
                    <w:tl2br w:val="nil"/>
                    <w:tr2bl w:val="nil"/>
                  </w:tcBorders>
                  <w:noWrap w:val="0"/>
                  <w:vAlign w:val="center"/>
                </w:tcPr>
                <w:p w14:paraId="73F80F8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项目用水主要为</w:t>
                  </w:r>
                  <w:r>
                    <w:rPr>
                      <w:rFonts w:hint="eastAsia" w:cs="Times New Roman"/>
                      <w:color w:val="auto"/>
                      <w:kern w:val="2"/>
                      <w:sz w:val="21"/>
                      <w:szCs w:val="21"/>
                      <w:highlight w:val="none"/>
                      <w:lang w:val="en-US" w:eastAsia="zh-CN" w:bidi="ar"/>
                    </w:rPr>
                    <w:t>打磨、切割湿式加工用水、清洗用水和</w:t>
                  </w:r>
                  <w:r>
                    <w:rPr>
                      <w:rFonts w:hint="default" w:ascii="Times New Roman" w:hAnsi="Times New Roman" w:eastAsia="宋体" w:cs="Times New Roman"/>
                      <w:color w:val="auto"/>
                      <w:kern w:val="2"/>
                      <w:sz w:val="21"/>
                      <w:szCs w:val="21"/>
                      <w:highlight w:val="none"/>
                      <w:lang w:val="en-US" w:eastAsia="zh-CN" w:bidi="ar"/>
                    </w:rPr>
                    <w:t>生活用水，年用水量</w:t>
                  </w:r>
                  <w:r>
                    <w:rPr>
                      <w:rFonts w:hint="eastAsia" w:cs="Times New Roman"/>
                      <w:color w:val="auto"/>
                      <w:kern w:val="2"/>
                      <w:sz w:val="21"/>
                      <w:szCs w:val="21"/>
                      <w:highlight w:val="none"/>
                      <w:lang w:val="en-US" w:eastAsia="zh-CN" w:bidi="ar"/>
                    </w:rPr>
                    <w:t>2497.5</w:t>
                  </w:r>
                  <w:r>
                    <w:rPr>
                      <w:rFonts w:hint="default" w:ascii="Times New Roman" w:hAnsi="Times New Roman" w:eastAsia="宋体" w:cs="Times New Roman"/>
                      <w:color w:val="auto"/>
                      <w:kern w:val="2"/>
                      <w:sz w:val="21"/>
                      <w:szCs w:val="21"/>
                      <w:highlight w:val="none"/>
                      <w:lang w:val="en-US" w:eastAsia="zh-CN" w:bidi="ar"/>
                    </w:rPr>
                    <w:t>m</w:t>
                  </w:r>
                  <w:r>
                    <w:rPr>
                      <w:rFonts w:hint="default" w:ascii="Times New Roman" w:hAnsi="Times New Roman" w:eastAsia="宋体" w:cs="Times New Roman"/>
                      <w:color w:val="auto"/>
                      <w:kern w:val="2"/>
                      <w:sz w:val="21"/>
                      <w:szCs w:val="21"/>
                      <w:highlight w:val="none"/>
                      <w:vertAlign w:val="super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/a</w:t>
                  </w:r>
                  <w:r>
                    <w:rPr>
                      <w:rFonts w:hint="eastAsia" w:cs="Times New Roman"/>
                      <w:color w:val="auto"/>
                      <w:kern w:val="2"/>
                      <w:sz w:val="21"/>
                      <w:szCs w:val="21"/>
                      <w:highlight w:val="none"/>
                      <w:lang w:val="en-US" w:eastAsia="zh-CN" w:bidi="ar"/>
                    </w:rPr>
                    <w:t>。</w:t>
                  </w:r>
                </w:p>
              </w:tc>
            </w:tr>
            <w:tr w14:paraId="481340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78F9C09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5F58696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排水</w:t>
                  </w:r>
                </w:p>
              </w:tc>
              <w:tc>
                <w:tcPr>
                  <w:tcW w:w="3412" w:type="pct"/>
                  <w:tcBorders>
                    <w:tl2br w:val="nil"/>
                    <w:tr2bl w:val="nil"/>
                  </w:tcBorders>
                  <w:noWrap w:val="0"/>
                  <w:vAlign w:val="center"/>
                </w:tcPr>
                <w:p w14:paraId="6677841A">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项目产生的生活污水</w:t>
                  </w:r>
                  <w:r>
                    <w:rPr>
                      <w:rFonts w:hint="eastAsia" w:cs="Times New Roman"/>
                      <w:color w:val="auto"/>
                      <w:kern w:val="2"/>
                      <w:sz w:val="21"/>
                      <w:szCs w:val="21"/>
                      <w:highlight w:val="none"/>
                      <w:lang w:val="en-US" w:eastAsia="zh-CN" w:bidi="ar"/>
                    </w:rPr>
                    <w:t>利用厂区现有化粪池处理</w:t>
                  </w:r>
                  <w:r>
                    <w:rPr>
                      <w:rFonts w:hint="default" w:ascii="Times New Roman" w:hAnsi="Times New Roman" w:eastAsia="宋体" w:cs="Times New Roman"/>
                      <w:color w:val="auto"/>
                      <w:sz w:val="21"/>
                      <w:szCs w:val="21"/>
                      <w:highlight w:val="none"/>
                      <w:lang w:val="en-US" w:eastAsia="zh-CN"/>
                    </w:rPr>
                    <w:t>后由市政污水管网排入</w:t>
                  </w:r>
                  <w:r>
                    <w:rPr>
                      <w:spacing w:val="16"/>
                      <w:sz w:val="21"/>
                      <w:szCs w:val="21"/>
                      <w:highlight w:val="none"/>
                    </w:rPr>
                    <w:t>调兵山市城市污水处理厂</w:t>
                  </w:r>
                  <w:r>
                    <w:rPr>
                      <w:rFonts w:hint="default" w:ascii="Times New Roman" w:hAnsi="Times New Roman" w:eastAsia="宋体" w:cs="Times New Roman"/>
                      <w:color w:val="auto"/>
                      <w:sz w:val="21"/>
                      <w:szCs w:val="21"/>
                      <w:highlight w:val="none"/>
                      <w:lang w:val="en-US" w:eastAsia="zh-CN"/>
                    </w:rPr>
                    <w:t>处理达标排放</w:t>
                  </w:r>
                  <w:r>
                    <w:rPr>
                      <w:rFonts w:hint="eastAsia" w:cs="Times New Roman"/>
                      <w:color w:val="auto"/>
                      <w:sz w:val="21"/>
                      <w:szCs w:val="21"/>
                      <w:highlight w:val="none"/>
                      <w:lang w:val="en-US" w:eastAsia="zh-CN"/>
                    </w:rPr>
                    <w:t>。本项目年排水量270</w:t>
                  </w:r>
                  <w:r>
                    <w:rPr>
                      <w:rFonts w:hint="default" w:ascii="Times New Roman" w:hAnsi="Times New Roman" w:eastAsia="宋体" w:cs="Times New Roman"/>
                      <w:color w:val="auto"/>
                      <w:kern w:val="2"/>
                      <w:sz w:val="21"/>
                      <w:szCs w:val="21"/>
                      <w:highlight w:val="none"/>
                      <w:lang w:val="en-US" w:eastAsia="zh-CN" w:bidi="ar"/>
                    </w:rPr>
                    <w:t>m</w:t>
                  </w:r>
                  <w:r>
                    <w:rPr>
                      <w:rFonts w:hint="default" w:ascii="Times New Roman" w:hAnsi="Times New Roman" w:eastAsia="宋体" w:cs="Times New Roman"/>
                      <w:color w:val="auto"/>
                      <w:kern w:val="2"/>
                      <w:sz w:val="21"/>
                      <w:szCs w:val="21"/>
                      <w:highlight w:val="none"/>
                      <w:vertAlign w:val="super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/a</w:t>
                  </w:r>
                  <w:r>
                    <w:rPr>
                      <w:rFonts w:hint="eastAsia" w:cs="Times New Roman"/>
                      <w:color w:val="auto"/>
                      <w:kern w:val="2"/>
                      <w:sz w:val="21"/>
                      <w:szCs w:val="21"/>
                      <w:highlight w:val="none"/>
                      <w:lang w:val="en-US" w:eastAsia="zh-CN" w:bidi="ar"/>
                    </w:rPr>
                    <w:t>。</w:t>
                  </w:r>
                </w:p>
              </w:tc>
            </w:tr>
            <w:tr w14:paraId="5B875C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restart"/>
                  <w:tcBorders>
                    <w:tl2br w:val="nil"/>
                    <w:tr2bl w:val="nil"/>
                  </w:tcBorders>
                  <w:noWrap w:val="0"/>
                  <w:vAlign w:val="center"/>
                </w:tcPr>
                <w:p w14:paraId="25C0914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环保工程</w:t>
                  </w:r>
                </w:p>
                <w:p w14:paraId="3B147EC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vMerge w:val="restart"/>
                  <w:tcBorders>
                    <w:tl2br w:val="nil"/>
                    <w:tr2bl w:val="nil"/>
                  </w:tcBorders>
                  <w:noWrap w:val="0"/>
                  <w:vAlign w:val="center"/>
                </w:tcPr>
                <w:p w14:paraId="47DD655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废水</w:t>
                  </w:r>
                </w:p>
              </w:tc>
              <w:tc>
                <w:tcPr>
                  <w:tcW w:w="3412" w:type="pct"/>
                  <w:tcBorders>
                    <w:tl2br w:val="nil"/>
                    <w:tr2bl w:val="nil"/>
                  </w:tcBorders>
                  <w:noWrap w:val="0"/>
                  <w:vAlign w:val="center"/>
                </w:tcPr>
                <w:p w14:paraId="1F32A7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eastAsia" w:cs="Times New Roman"/>
                      <w:color w:val="000000"/>
                      <w:kern w:val="2"/>
                      <w:sz w:val="21"/>
                      <w:szCs w:val="21"/>
                      <w:lang w:val="en-US" w:eastAsia="zh-CN" w:bidi="ar"/>
                    </w:rPr>
                    <w:t>项目打磨切割废水、清洗废水经厂区废水处理设施（工艺为沉淀-絮凝-压滤）处理后循环使用，不外排，沉淀池规格为3.6m</w:t>
                  </w:r>
                  <w:r>
                    <w:rPr>
                      <w:rFonts w:hint="default" w:ascii="Arial" w:hAnsi="Arial" w:cs="Arial"/>
                      <w:color w:val="000000"/>
                      <w:kern w:val="2"/>
                      <w:sz w:val="21"/>
                      <w:szCs w:val="21"/>
                      <w:lang w:val="en-US" w:eastAsia="zh-CN" w:bidi="ar"/>
                    </w:rPr>
                    <w:t>×</w:t>
                  </w:r>
                  <w:r>
                    <w:rPr>
                      <w:rFonts w:hint="eastAsia" w:cs="Times New Roman"/>
                      <w:color w:val="000000"/>
                      <w:kern w:val="2"/>
                      <w:sz w:val="21"/>
                      <w:szCs w:val="21"/>
                      <w:lang w:val="en-US" w:eastAsia="zh-CN" w:bidi="ar"/>
                    </w:rPr>
                    <w:t>8m</w:t>
                  </w:r>
                  <w:r>
                    <w:rPr>
                      <w:rFonts w:hint="default" w:ascii="Arial" w:hAnsi="Arial" w:cs="Arial"/>
                      <w:color w:val="000000"/>
                      <w:kern w:val="2"/>
                      <w:sz w:val="21"/>
                      <w:szCs w:val="21"/>
                      <w:lang w:val="en-US" w:eastAsia="zh-CN" w:bidi="ar"/>
                    </w:rPr>
                    <w:t>×</w:t>
                  </w:r>
                  <w:r>
                    <w:rPr>
                      <w:rFonts w:hint="eastAsia" w:cs="Times New Roman"/>
                      <w:color w:val="000000"/>
                      <w:kern w:val="2"/>
                      <w:sz w:val="21"/>
                      <w:szCs w:val="21"/>
                      <w:lang w:val="en-US" w:eastAsia="zh-CN" w:bidi="ar"/>
                    </w:rPr>
                    <w:t>3.2m，生产废水进入压滤机处理后，滤渣为玻璃渣及少量灰尘杂质，在一般固废暂存间贮存，生产废水处理设备处理能力为75m³/h。</w:t>
                  </w:r>
                </w:p>
              </w:tc>
            </w:tr>
            <w:tr w14:paraId="6F1007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7BB9094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p>
              </w:tc>
              <w:tc>
                <w:tcPr>
                  <w:tcW w:w="987" w:type="pct"/>
                  <w:vMerge w:val="continue"/>
                  <w:tcBorders>
                    <w:tl2br w:val="nil"/>
                    <w:tr2bl w:val="nil"/>
                  </w:tcBorders>
                  <w:noWrap w:val="0"/>
                  <w:vAlign w:val="center"/>
                </w:tcPr>
                <w:p w14:paraId="2778B4C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kern w:val="2"/>
                      <w:sz w:val="21"/>
                      <w:szCs w:val="21"/>
                      <w:lang w:val="en-US" w:eastAsia="zh-CN" w:bidi="ar"/>
                    </w:rPr>
                  </w:pPr>
                </w:p>
              </w:tc>
              <w:tc>
                <w:tcPr>
                  <w:tcW w:w="3412" w:type="pct"/>
                  <w:tcBorders>
                    <w:tl2br w:val="nil"/>
                    <w:tr2bl w:val="nil"/>
                  </w:tcBorders>
                  <w:noWrap w:val="0"/>
                  <w:vAlign w:val="center"/>
                </w:tcPr>
                <w:p w14:paraId="48C6D1A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项目产生的生活污水</w:t>
                  </w:r>
                  <w:r>
                    <w:rPr>
                      <w:rFonts w:hint="eastAsia" w:cs="Times New Roman"/>
                      <w:color w:val="000000"/>
                      <w:kern w:val="2"/>
                      <w:sz w:val="21"/>
                      <w:szCs w:val="21"/>
                      <w:lang w:val="en-US" w:eastAsia="zh-CN" w:bidi="ar"/>
                    </w:rPr>
                    <w:t>依托厂区现有化粪池处理</w:t>
                  </w:r>
                  <w:r>
                    <w:rPr>
                      <w:rFonts w:hint="default" w:ascii="Times New Roman" w:hAnsi="Times New Roman" w:eastAsia="宋体" w:cs="Times New Roman"/>
                      <w:color w:val="auto"/>
                      <w:sz w:val="21"/>
                      <w:szCs w:val="21"/>
                      <w:lang w:val="en-US" w:eastAsia="zh-CN"/>
                    </w:rPr>
                    <w:t>后由市政污水管网排入</w:t>
                  </w:r>
                  <w:r>
                    <w:rPr>
                      <w:spacing w:val="16"/>
                      <w:sz w:val="21"/>
                      <w:szCs w:val="21"/>
                    </w:rPr>
                    <w:t>调兵山市城市污水处理厂</w:t>
                  </w:r>
                  <w:r>
                    <w:rPr>
                      <w:rFonts w:hint="default" w:ascii="Times New Roman" w:hAnsi="Times New Roman" w:eastAsia="宋体" w:cs="Times New Roman"/>
                      <w:color w:val="auto"/>
                      <w:sz w:val="21"/>
                      <w:szCs w:val="21"/>
                      <w:lang w:val="en-US" w:eastAsia="zh-CN"/>
                    </w:rPr>
                    <w:t>处理达标排放</w:t>
                  </w:r>
                  <w:r>
                    <w:rPr>
                      <w:rFonts w:hint="eastAsia" w:cs="Times New Roman"/>
                      <w:color w:val="auto"/>
                      <w:sz w:val="21"/>
                      <w:szCs w:val="21"/>
                      <w:lang w:val="en-US" w:eastAsia="zh-CN"/>
                    </w:rPr>
                    <w:t>。</w:t>
                  </w:r>
                </w:p>
              </w:tc>
            </w:tr>
            <w:tr w14:paraId="69E0A0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627E7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505C0315">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废气</w:t>
                  </w:r>
                </w:p>
              </w:tc>
              <w:tc>
                <w:tcPr>
                  <w:tcW w:w="3412" w:type="pct"/>
                  <w:tcBorders>
                    <w:tl2br w:val="nil"/>
                    <w:tr2bl w:val="nil"/>
                  </w:tcBorders>
                  <w:noWrap w:val="0"/>
                  <w:vAlign w:val="center"/>
                </w:tcPr>
                <w:p w14:paraId="3371A5BA">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eastAsia" w:cs="Times New Roman"/>
                      <w:color w:val="000000"/>
                      <w:kern w:val="2"/>
                      <w:sz w:val="21"/>
                      <w:szCs w:val="21"/>
                      <w:lang w:val="en-US" w:eastAsia="zh-CN" w:bidi="ar"/>
                    </w:rPr>
                    <w:t>调胶、涂胶、封胶过程中产生的有机废气，通过设置2个集气罩收集（调胶与封胶共用一个集气罩），经二级活性炭吸附装置吸附处理后，通过15m高排气筒（DA001）排放</w:t>
                  </w:r>
                </w:p>
              </w:tc>
            </w:tr>
            <w:tr w14:paraId="378B6E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23051CE9">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vMerge w:val="restart"/>
                  <w:tcBorders>
                    <w:tl2br w:val="nil"/>
                    <w:tr2bl w:val="nil"/>
                  </w:tcBorders>
                  <w:noWrap w:val="0"/>
                  <w:vAlign w:val="center"/>
                </w:tcPr>
                <w:p w14:paraId="7F2AADA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固废</w:t>
                  </w:r>
                </w:p>
              </w:tc>
              <w:tc>
                <w:tcPr>
                  <w:tcW w:w="3412" w:type="pct"/>
                  <w:tcBorders>
                    <w:tl2br w:val="nil"/>
                    <w:tr2bl w:val="nil"/>
                  </w:tcBorders>
                  <w:noWrap w:val="0"/>
                  <w:vAlign w:val="center"/>
                </w:tcPr>
                <w:p w14:paraId="6088EBC4">
                  <w:pPr>
                    <w:pStyle w:val="8"/>
                    <w:jc w:val="center"/>
                    <w:rPr>
                      <w:rFonts w:hint="eastAsia" w:ascii="Times New Roman" w:hAnsi="Times New Roman" w:eastAsia="宋体" w:cs="Times New Roman"/>
                      <w:color w:val="000000"/>
                      <w:kern w:val="2"/>
                      <w:sz w:val="21"/>
                      <w:szCs w:val="21"/>
                      <w:lang w:val="en-US" w:eastAsia="zh-CN"/>
                    </w:rPr>
                  </w:pPr>
                  <w:r>
                    <w:rPr>
                      <w:rFonts w:hint="eastAsia"/>
                      <w:lang w:val="en-US" w:eastAsia="zh-CN"/>
                    </w:rPr>
                    <w:t>生活垃圾</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分类收集后，定期送至垃圾存放点，由环卫部门统一清运处理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r>
            <w:tr w14:paraId="473F47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0186F10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vMerge w:val="continue"/>
                  <w:tcBorders>
                    <w:tl2br w:val="nil"/>
                    <w:tr2bl w:val="nil"/>
                  </w:tcBorders>
                  <w:noWrap w:val="0"/>
                  <w:vAlign w:val="center"/>
                </w:tcPr>
                <w:p w14:paraId="3B3BA6B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p>
              </w:tc>
              <w:tc>
                <w:tcPr>
                  <w:tcW w:w="3412" w:type="pct"/>
                  <w:tcBorders>
                    <w:tl2br w:val="nil"/>
                    <w:tr2bl w:val="nil"/>
                  </w:tcBorders>
                  <w:noWrap w:val="0"/>
                  <w:vAlign w:val="center"/>
                </w:tcPr>
                <w:p w14:paraId="609C78B3">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一般固废包括</w:t>
                  </w:r>
                  <w:r>
                    <w:rPr>
                      <w:rFonts w:hint="eastAsia" w:cs="Times New Roman"/>
                      <w:color w:val="000000"/>
                      <w:kern w:val="2"/>
                      <w:sz w:val="21"/>
                      <w:szCs w:val="21"/>
                      <w:lang w:val="en-US" w:eastAsia="zh-CN" w:bidi="ar"/>
                    </w:rPr>
                    <w:t>边角料、</w:t>
                  </w:r>
                  <w:r>
                    <w:rPr>
                      <w:rFonts w:hint="default" w:ascii="Times New Roman" w:hAnsi="Times New Roman" w:eastAsia="宋体" w:cs="Times New Roman"/>
                      <w:color w:val="000000"/>
                      <w:kern w:val="2"/>
                      <w:sz w:val="21"/>
                      <w:szCs w:val="21"/>
                      <w:lang w:val="en-US" w:eastAsia="zh-CN" w:bidi="ar"/>
                    </w:rPr>
                    <w:t>玻璃渣、沉淀池</w:t>
                  </w:r>
                  <w:r>
                    <w:rPr>
                      <w:rFonts w:hint="eastAsia" w:cs="Times New Roman"/>
                      <w:color w:val="000000"/>
                      <w:kern w:val="2"/>
                      <w:sz w:val="21"/>
                      <w:szCs w:val="21"/>
                      <w:lang w:val="en-US" w:eastAsia="zh-CN" w:bidi="ar"/>
                    </w:rPr>
                    <w:t>沉渣、滤渣</w:t>
                  </w:r>
                  <w:r>
                    <w:rPr>
                      <w:rFonts w:hint="default" w:ascii="Times New Roman" w:hAnsi="Times New Roman" w:eastAsia="宋体" w:cs="Times New Roman"/>
                      <w:color w:val="000000"/>
                      <w:kern w:val="2"/>
                      <w:sz w:val="21"/>
                      <w:szCs w:val="21"/>
                      <w:lang w:val="en-US" w:eastAsia="zh-CN" w:bidi="ar"/>
                    </w:rPr>
                    <w:t>，暂存于一般固废暂存间，位于厂房</w:t>
                  </w:r>
                  <w:r>
                    <w:rPr>
                      <w:rFonts w:hint="eastAsia" w:cs="Times New Roman"/>
                      <w:color w:val="000000"/>
                      <w:kern w:val="2"/>
                      <w:sz w:val="21"/>
                      <w:szCs w:val="21"/>
                      <w:lang w:val="en-US" w:eastAsia="zh-CN" w:bidi="ar"/>
                    </w:rPr>
                    <w:t>北</w:t>
                  </w:r>
                  <w:r>
                    <w:rPr>
                      <w:rFonts w:hint="default" w:ascii="Times New Roman" w:hAnsi="Times New Roman" w:eastAsia="宋体" w:cs="Times New Roman"/>
                      <w:color w:val="auto"/>
                      <w:kern w:val="2"/>
                      <w:sz w:val="21"/>
                      <w:szCs w:val="21"/>
                      <w:lang w:val="en-US" w:eastAsia="zh-CN" w:bidi="ar"/>
                    </w:rPr>
                    <w:t>侧</w:t>
                  </w:r>
                  <w:r>
                    <w:rPr>
                      <w:rFonts w:hint="default" w:ascii="Times New Roman" w:hAnsi="Times New Roman" w:eastAsia="宋体" w:cs="Times New Roman"/>
                      <w:color w:val="000000"/>
                      <w:kern w:val="2"/>
                      <w:sz w:val="21"/>
                      <w:szCs w:val="21"/>
                      <w:lang w:val="en-US" w:eastAsia="zh-CN" w:bidi="ar"/>
                    </w:rPr>
                    <w:t>，一般固废分类收集，</w:t>
                  </w:r>
                  <w:r>
                    <w:rPr>
                      <w:rFonts w:hint="eastAsia" w:cs="Times New Roman"/>
                      <w:color w:val="000000"/>
                      <w:kern w:val="2"/>
                      <w:sz w:val="21"/>
                      <w:szCs w:val="21"/>
                      <w:lang w:val="en-US" w:eastAsia="zh-CN" w:bidi="ar"/>
                    </w:rPr>
                    <w:t>定期外售，综合利用，</w:t>
                  </w:r>
                  <w:r>
                    <w:rPr>
                      <w:rFonts w:hint="default" w:ascii="Times New Roman" w:hAnsi="Times New Roman" w:eastAsia="宋体" w:cs="Times New Roman"/>
                      <w:color w:val="000000"/>
                      <w:kern w:val="2"/>
                      <w:sz w:val="21"/>
                      <w:szCs w:val="21"/>
                      <w:lang w:val="en-US" w:eastAsia="zh-CN" w:bidi="ar"/>
                    </w:rPr>
                    <w:t>一般固废暂存区建筑面积</w:t>
                  </w:r>
                  <w:r>
                    <w:rPr>
                      <w:rFonts w:hint="eastAsia" w:cs="Times New Roman"/>
                      <w:color w:val="000000"/>
                      <w:kern w:val="2"/>
                      <w:sz w:val="21"/>
                      <w:szCs w:val="21"/>
                      <w:lang w:val="en-US" w:eastAsia="zh-CN" w:bidi="ar"/>
                    </w:rPr>
                    <w:t>约</w:t>
                  </w:r>
                  <w:r>
                    <w:rPr>
                      <w:rFonts w:hint="default" w:ascii="Times New Roman" w:hAnsi="Times New Roman" w:eastAsia="宋体" w:cs="Times New Roman"/>
                      <w:color w:val="000000"/>
                      <w:kern w:val="2"/>
                      <w:sz w:val="21"/>
                      <w:szCs w:val="21"/>
                      <w:lang w:val="en-US" w:eastAsia="zh-CN" w:bidi="ar"/>
                    </w:rPr>
                    <w:t>为</w:t>
                  </w:r>
                  <w:r>
                    <w:rPr>
                      <w:rFonts w:hint="eastAsia" w:cs="Times New Roman"/>
                      <w:color w:val="000000"/>
                      <w:kern w:val="2"/>
                      <w:sz w:val="21"/>
                      <w:szCs w:val="21"/>
                      <w:lang w:val="en-US" w:eastAsia="zh-CN" w:bidi="ar"/>
                    </w:rPr>
                    <w:t>120</w:t>
                  </w:r>
                  <w:r>
                    <w:rPr>
                      <w:rFonts w:hint="default" w:ascii="Times New Roman" w:hAnsi="Times New Roman" w:eastAsia="宋体" w:cs="Times New Roman"/>
                      <w:color w:val="000000"/>
                      <w:kern w:val="2"/>
                      <w:sz w:val="21"/>
                      <w:szCs w:val="21"/>
                      <w:lang w:val="en-US" w:eastAsia="zh-CN" w:bidi="ar"/>
                    </w:rPr>
                    <w:t>m</w:t>
                  </w:r>
                  <w:r>
                    <w:rPr>
                      <w:rFonts w:hint="default" w:ascii="Times New Roman" w:hAnsi="Times New Roman" w:eastAsia="宋体" w:cs="Times New Roman"/>
                      <w:color w:val="000000"/>
                      <w:kern w:val="2"/>
                      <w:sz w:val="21"/>
                      <w:szCs w:val="21"/>
                      <w:vertAlign w:val="superscript"/>
                      <w:lang w:val="en-US" w:eastAsia="zh-CN" w:bidi="ar"/>
                    </w:rPr>
                    <w:t>2</w:t>
                  </w:r>
                  <w:r>
                    <w:rPr>
                      <w:rFonts w:hint="eastAsia" w:cs="Times New Roman"/>
                      <w:color w:val="000000"/>
                      <w:kern w:val="2"/>
                      <w:sz w:val="21"/>
                      <w:szCs w:val="21"/>
                      <w:vertAlign w:val="baseline"/>
                      <w:lang w:val="en-US" w:eastAsia="zh-CN" w:bidi="ar"/>
                    </w:rPr>
                    <w:t>。</w:t>
                  </w:r>
                </w:p>
              </w:tc>
            </w:tr>
            <w:tr w14:paraId="602352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644EDA8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vMerge w:val="continue"/>
                  <w:tcBorders>
                    <w:tl2br w:val="nil"/>
                    <w:tr2bl w:val="nil"/>
                  </w:tcBorders>
                  <w:noWrap w:val="0"/>
                  <w:vAlign w:val="center"/>
                </w:tcPr>
                <w:p w14:paraId="6DA6BB3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p>
              </w:tc>
              <w:tc>
                <w:tcPr>
                  <w:tcW w:w="3412" w:type="pct"/>
                  <w:tcBorders>
                    <w:tl2br w:val="nil"/>
                    <w:tr2bl w:val="nil"/>
                  </w:tcBorders>
                  <w:noWrap w:val="0"/>
                  <w:vAlign w:val="center"/>
                </w:tcPr>
                <w:p w14:paraId="650724E1">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危险固废包括废胶桶</w:t>
                  </w:r>
                  <w:r>
                    <w:rPr>
                      <w:rFonts w:hint="eastAsia" w:cs="Times New Roman"/>
                      <w:color w:val="000000"/>
                      <w:kern w:val="2"/>
                      <w:sz w:val="21"/>
                      <w:szCs w:val="21"/>
                      <w:lang w:val="en-US" w:eastAsia="zh-CN" w:bidi="ar"/>
                    </w:rPr>
                    <w:t>、废机油</w:t>
                  </w:r>
                  <w:r>
                    <w:rPr>
                      <w:rFonts w:hint="default" w:ascii="Times New Roman" w:hAnsi="Times New Roman" w:eastAsia="宋体" w:cs="Times New Roman"/>
                      <w:color w:val="000000"/>
                      <w:kern w:val="2"/>
                      <w:sz w:val="21"/>
                      <w:szCs w:val="21"/>
                      <w:lang w:val="en-US" w:eastAsia="zh-CN" w:bidi="ar"/>
                    </w:rPr>
                    <w:t>和废活性炭，危险</w:t>
                  </w:r>
                  <w:r>
                    <w:rPr>
                      <w:rFonts w:hint="eastAsia" w:cs="Times New Roman"/>
                      <w:color w:val="000000"/>
                      <w:kern w:val="2"/>
                      <w:sz w:val="21"/>
                      <w:szCs w:val="21"/>
                      <w:lang w:val="en-US" w:eastAsia="zh-CN" w:bidi="ar"/>
                    </w:rPr>
                    <w:t>废物</w:t>
                  </w:r>
                  <w:r>
                    <w:rPr>
                      <w:rFonts w:hint="default" w:ascii="Times New Roman" w:hAnsi="Times New Roman" w:eastAsia="宋体" w:cs="Times New Roman"/>
                      <w:color w:val="000000"/>
                      <w:kern w:val="2"/>
                      <w:sz w:val="21"/>
                      <w:szCs w:val="21"/>
                      <w:lang w:val="en-US" w:eastAsia="zh-CN" w:bidi="ar"/>
                    </w:rPr>
                    <w:t>交由有资质单位进行集中处理处置，危险废物暂存间</w:t>
                  </w:r>
                  <w:r>
                    <w:rPr>
                      <w:rFonts w:hint="eastAsia"/>
                      <w:lang w:val="en-US" w:eastAsia="zh-CN"/>
                    </w:rPr>
                    <w:t>位于中空玻璃生产线西侧，</w:t>
                  </w:r>
                  <w:r>
                    <w:rPr>
                      <w:rFonts w:hint="default" w:ascii="Times New Roman" w:hAnsi="Times New Roman" w:eastAsia="宋体" w:cs="Times New Roman"/>
                      <w:color w:val="000000"/>
                      <w:kern w:val="2"/>
                      <w:sz w:val="21"/>
                      <w:szCs w:val="21"/>
                      <w:lang w:val="en-US" w:eastAsia="zh-CN" w:bidi="ar"/>
                    </w:rPr>
                    <w:t>建筑面积</w:t>
                  </w:r>
                  <w:r>
                    <w:rPr>
                      <w:rFonts w:hint="eastAsia" w:cs="Times New Roman"/>
                      <w:color w:val="000000"/>
                      <w:kern w:val="2"/>
                      <w:sz w:val="21"/>
                      <w:szCs w:val="21"/>
                      <w:lang w:val="en-US" w:eastAsia="zh-CN" w:bidi="ar"/>
                    </w:rPr>
                    <w:t>约</w:t>
                  </w:r>
                  <w:r>
                    <w:rPr>
                      <w:rFonts w:hint="default" w:ascii="Times New Roman" w:hAnsi="Times New Roman" w:eastAsia="宋体" w:cs="Times New Roman"/>
                      <w:color w:val="000000"/>
                      <w:kern w:val="2"/>
                      <w:sz w:val="21"/>
                      <w:szCs w:val="21"/>
                      <w:lang w:val="en-US" w:eastAsia="zh-CN" w:bidi="ar"/>
                    </w:rPr>
                    <w:t>为</w:t>
                  </w:r>
                  <w:r>
                    <w:rPr>
                      <w:rFonts w:hint="eastAsia" w:cs="Times New Roman"/>
                      <w:color w:val="000000"/>
                      <w:kern w:val="2"/>
                      <w:sz w:val="21"/>
                      <w:szCs w:val="21"/>
                      <w:lang w:val="en-US" w:eastAsia="zh-CN" w:bidi="ar"/>
                    </w:rPr>
                    <w:t>40</w:t>
                  </w:r>
                  <w:r>
                    <w:rPr>
                      <w:rFonts w:hint="default" w:ascii="Times New Roman" w:hAnsi="Times New Roman" w:eastAsia="宋体" w:cs="Times New Roman"/>
                      <w:color w:val="000000"/>
                      <w:kern w:val="2"/>
                      <w:sz w:val="21"/>
                      <w:szCs w:val="21"/>
                      <w:lang w:val="en-US" w:eastAsia="zh-CN" w:bidi="ar"/>
                    </w:rPr>
                    <w:t>m</w:t>
                  </w:r>
                  <w:r>
                    <w:rPr>
                      <w:rFonts w:hint="default" w:ascii="Times New Roman" w:hAnsi="Times New Roman" w:eastAsia="宋体" w:cs="Times New Roman"/>
                      <w:color w:val="000000"/>
                      <w:kern w:val="2"/>
                      <w:sz w:val="21"/>
                      <w:szCs w:val="21"/>
                      <w:vertAlign w:val="superscript"/>
                      <w:lang w:val="en-US" w:eastAsia="zh-CN" w:bidi="ar"/>
                    </w:rPr>
                    <w:t>2</w:t>
                  </w:r>
                  <w:r>
                    <w:rPr>
                      <w:rFonts w:hint="eastAsia" w:cs="Times New Roman"/>
                      <w:color w:val="000000"/>
                      <w:kern w:val="2"/>
                      <w:sz w:val="21"/>
                      <w:szCs w:val="21"/>
                      <w:vertAlign w:val="baseline"/>
                      <w:lang w:val="en-US" w:eastAsia="zh-CN" w:bidi="ar"/>
                    </w:rPr>
                    <w:t>。</w:t>
                  </w:r>
                </w:p>
              </w:tc>
            </w:tr>
            <w:tr w14:paraId="08415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0390140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015767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噪声</w:t>
                  </w:r>
                </w:p>
              </w:tc>
              <w:tc>
                <w:tcPr>
                  <w:tcW w:w="3412" w:type="pct"/>
                  <w:tcBorders>
                    <w:tl2br w:val="nil"/>
                    <w:tr2bl w:val="nil"/>
                  </w:tcBorders>
                  <w:noWrap w:val="0"/>
                  <w:vAlign w:val="center"/>
                </w:tcPr>
                <w:p w14:paraId="669BBAB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隔声、减振、合理安排工作时间</w:t>
                  </w:r>
                  <w:r>
                    <w:rPr>
                      <w:rFonts w:hint="eastAsia" w:cs="Times New Roman"/>
                      <w:color w:val="000000"/>
                      <w:kern w:val="2"/>
                      <w:sz w:val="21"/>
                      <w:szCs w:val="21"/>
                      <w:lang w:val="en-US" w:eastAsia="zh-CN" w:bidi="ar"/>
                    </w:rPr>
                    <w:t>。</w:t>
                  </w:r>
                </w:p>
              </w:tc>
            </w:tr>
            <w:tr w14:paraId="35DEB9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00" w:type="pct"/>
                  <w:vMerge w:val="continue"/>
                  <w:tcBorders>
                    <w:tl2br w:val="nil"/>
                    <w:tr2bl w:val="nil"/>
                  </w:tcBorders>
                  <w:noWrap w:val="0"/>
                  <w:vAlign w:val="center"/>
                </w:tcPr>
                <w:p w14:paraId="14C4AE2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sz w:val="21"/>
                      <w:szCs w:val="21"/>
                    </w:rPr>
                  </w:pPr>
                </w:p>
              </w:tc>
              <w:tc>
                <w:tcPr>
                  <w:tcW w:w="987" w:type="pct"/>
                  <w:tcBorders>
                    <w:tl2br w:val="nil"/>
                    <w:tr2bl w:val="nil"/>
                  </w:tcBorders>
                  <w:noWrap w:val="0"/>
                  <w:vAlign w:val="center"/>
                </w:tcPr>
                <w:p w14:paraId="7C291F7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土壤、地下水</w:t>
                  </w:r>
                </w:p>
              </w:tc>
              <w:tc>
                <w:tcPr>
                  <w:tcW w:w="3412" w:type="pct"/>
                  <w:tcBorders>
                    <w:tl2br w:val="nil"/>
                    <w:tr2bl w:val="nil"/>
                  </w:tcBorders>
                  <w:noWrap w:val="0"/>
                  <w:vAlign w:val="center"/>
                </w:tcPr>
                <w:p w14:paraId="4B8F571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分区防渗，危废暂存间、</w:t>
                  </w:r>
                  <w:r>
                    <w:rPr>
                      <w:rFonts w:hint="eastAsia" w:cs="Times New Roman"/>
                      <w:color w:val="000000"/>
                      <w:kern w:val="2"/>
                      <w:sz w:val="21"/>
                      <w:szCs w:val="21"/>
                      <w:lang w:val="en-US" w:eastAsia="zh-CN" w:bidi="ar"/>
                    </w:rPr>
                    <w:t>沉淀池</w:t>
                  </w:r>
                  <w:r>
                    <w:rPr>
                      <w:rFonts w:hint="default" w:ascii="Times New Roman" w:hAnsi="Times New Roman" w:eastAsia="宋体" w:cs="Times New Roman"/>
                      <w:color w:val="000000"/>
                      <w:kern w:val="2"/>
                      <w:sz w:val="21"/>
                      <w:szCs w:val="21"/>
                      <w:lang w:val="en-US" w:eastAsia="zh-CN" w:bidi="ar"/>
                    </w:rPr>
                    <w:t>采取重点防渗；</w:t>
                  </w:r>
                  <w:r>
                    <w:rPr>
                      <w:rFonts w:hint="eastAsia" w:cs="Times New Roman"/>
                      <w:color w:val="000000"/>
                      <w:kern w:val="2"/>
                      <w:sz w:val="21"/>
                      <w:szCs w:val="21"/>
                      <w:lang w:val="en-US" w:eastAsia="zh-CN" w:bidi="ar"/>
                    </w:rPr>
                    <w:t>车间其他区域采取一般防渗，</w:t>
                  </w:r>
                  <w:r>
                    <w:rPr>
                      <w:rFonts w:hint="default" w:ascii="Times New Roman" w:hAnsi="Times New Roman" w:eastAsia="宋体" w:cs="Times New Roman"/>
                      <w:color w:val="000000"/>
                      <w:kern w:val="2"/>
                      <w:sz w:val="21"/>
                      <w:szCs w:val="21"/>
                      <w:lang w:val="en-US" w:eastAsia="zh-CN" w:bidi="ar"/>
                    </w:rPr>
                    <w:t>办公区</w:t>
                  </w:r>
                  <w:r>
                    <w:rPr>
                      <w:rFonts w:hint="eastAsia" w:cs="Times New Roman"/>
                      <w:color w:val="000000"/>
                      <w:kern w:val="2"/>
                      <w:sz w:val="21"/>
                      <w:szCs w:val="21"/>
                      <w:lang w:val="en-US" w:eastAsia="zh-CN" w:bidi="ar"/>
                    </w:rPr>
                    <w:t>、厂内道路等</w:t>
                  </w:r>
                  <w:r>
                    <w:rPr>
                      <w:rFonts w:hint="default" w:ascii="Times New Roman" w:hAnsi="Times New Roman" w:eastAsia="宋体" w:cs="Times New Roman"/>
                      <w:color w:val="000000"/>
                      <w:kern w:val="2"/>
                      <w:sz w:val="21"/>
                      <w:szCs w:val="21"/>
                      <w:lang w:val="en-US" w:eastAsia="zh-CN" w:bidi="ar"/>
                    </w:rPr>
                    <w:t>采取简单防渗。</w:t>
                  </w:r>
                </w:p>
              </w:tc>
            </w:tr>
          </w:tbl>
          <w:p w14:paraId="268CF403">
            <w:pPr>
              <w:autoSpaceDE w:val="0"/>
              <w:autoSpaceDN w:val="0"/>
              <w:adjustRightInd w:val="0"/>
              <w:spacing w:line="360" w:lineRule="auto"/>
              <w:jc w:val="left"/>
              <w:rPr>
                <w:rFonts w:hint="default" w:ascii="Times New Roman" w:hAnsi="Times New Roman" w:cs="Times New Roman"/>
                <w:b/>
                <w:bCs/>
                <w:color w:val="auto"/>
                <w:sz w:val="24"/>
                <w:szCs w:val="24"/>
              </w:rPr>
            </w:pPr>
            <w:r>
              <w:rPr>
                <w:rFonts w:hint="eastAsia"/>
                <w:b/>
                <w:bCs/>
                <w:color w:val="auto"/>
                <w:kern w:val="0"/>
                <w:sz w:val="24"/>
                <w:szCs w:val="24"/>
                <w:lang w:val="en-US" w:eastAsia="zh-CN"/>
              </w:rPr>
              <w:t>3、产品方案</w:t>
            </w:r>
          </w:p>
          <w:p w14:paraId="7B90EE56">
            <w:pPr>
              <w:spacing w:line="360" w:lineRule="auto"/>
              <w:ind w:firstLine="480" w:firstLineChars="200"/>
              <w:rPr>
                <w:rFonts w:ascii="宋体" w:hAnsi="宋体"/>
                <w:color w:val="auto"/>
                <w:sz w:val="24"/>
                <w:szCs w:val="24"/>
              </w:rPr>
            </w:pPr>
            <w:r>
              <w:rPr>
                <w:rFonts w:ascii="宋体" w:hAnsi="宋体"/>
                <w:color w:val="auto"/>
                <w:sz w:val="24"/>
                <w:szCs w:val="24"/>
              </w:rPr>
              <w:t>项目主要</w:t>
            </w:r>
            <w:r>
              <w:rPr>
                <w:rFonts w:hint="default" w:ascii="Times New Roman" w:hAnsi="Times New Roman" w:cs="Times New Roman"/>
                <w:color w:val="auto"/>
                <w:sz w:val="24"/>
                <w:szCs w:val="24"/>
                <w:lang w:eastAsia="zh-CN"/>
              </w:rPr>
              <w:t>年产</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0万平方米特种玻璃</w:t>
            </w:r>
            <w:r>
              <w:rPr>
                <w:rFonts w:hint="default" w:ascii="Times New Roman" w:hAnsi="Times New Roman" w:cs="Times New Roman"/>
                <w:color w:val="auto"/>
                <w:sz w:val="24"/>
                <w:szCs w:val="24"/>
              </w:rPr>
              <w:t>。产品方案及生产规模见</w:t>
            </w:r>
            <w:r>
              <w:rPr>
                <w:rFonts w:hint="default" w:ascii="Times New Roman" w:hAnsi="Times New Roman" w:cs="Times New Roman"/>
                <w:color w:val="auto"/>
                <w:sz w:val="24"/>
                <w:szCs w:val="24"/>
                <w:lang w:val="en-US" w:eastAsia="zh-CN"/>
              </w:rPr>
              <w:t>下</w:t>
            </w:r>
            <w:r>
              <w:rPr>
                <w:rFonts w:hint="default" w:ascii="Times New Roman" w:hAnsi="Times New Roman" w:cs="Times New Roman"/>
                <w:color w:val="auto"/>
                <w:sz w:val="24"/>
                <w:szCs w:val="24"/>
              </w:rPr>
              <w:t>表</w:t>
            </w:r>
            <w:r>
              <w:rPr>
                <w:rFonts w:hint="eastAsia" w:cs="Times New Roman"/>
                <w:color w:val="auto"/>
                <w:sz w:val="24"/>
                <w:szCs w:val="24"/>
                <w:lang w:val="en-US" w:eastAsia="zh-CN"/>
              </w:rPr>
              <w:t>2-2</w:t>
            </w:r>
            <w:r>
              <w:rPr>
                <w:rFonts w:hint="eastAsia" w:cs="Times New Roman"/>
                <w:color w:val="auto"/>
                <w:sz w:val="24"/>
                <w:szCs w:val="24"/>
                <w:lang w:eastAsia="zh-CN"/>
              </w:rPr>
              <w:t>，产品执行标准见表</w:t>
            </w:r>
            <w:r>
              <w:rPr>
                <w:rFonts w:hint="eastAsia" w:cs="Times New Roman"/>
                <w:color w:val="auto"/>
                <w:sz w:val="24"/>
                <w:szCs w:val="24"/>
                <w:lang w:val="en-US" w:eastAsia="zh-CN"/>
              </w:rPr>
              <w:t>2-3及表2-4</w:t>
            </w:r>
            <w:r>
              <w:rPr>
                <w:rFonts w:hint="default" w:ascii="Times New Roman" w:hAnsi="Times New Roman" w:cs="Times New Roman"/>
                <w:color w:val="auto"/>
                <w:sz w:val="24"/>
                <w:szCs w:val="24"/>
              </w:rPr>
              <w:t>。</w:t>
            </w:r>
          </w:p>
          <w:p w14:paraId="78E9F920">
            <w:pPr>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2-</w:t>
            </w:r>
            <w:r>
              <w:rPr>
                <w:rFonts w:hint="eastAsia" w:cs="Times New Roman"/>
                <w:b/>
                <w:bCs/>
                <w:color w:val="auto"/>
                <w:sz w:val="21"/>
                <w:szCs w:val="21"/>
                <w:lang w:val="en-US" w:eastAsia="zh-CN"/>
              </w:rPr>
              <w:t>2</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项目产品方案及生产规模</w:t>
            </w:r>
          </w:p>
          <w:tbl>
            <w:tblPr>
              <w:tblStyle w:val="19"/>
              <w:tblW w:w="4997"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826"/>
              <w:gridCol w:w="1144"/>
              <w:gridCol w:w="1730"/>
              <w:gridCol w:w="4374"/>
            </w:tblGrid>
            <w:tr w14:paraId="279B887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tblHeader/>
                <w:jc w:val="center"/>
              </w:trPr>
              <w:tc>
                <w:tcPr>
                  <w:tcW w:w="1006" w:type="pct"/>
                  <w:tcBorders>
                    <w:tl2br w:val="nil"/>
                    <w:tr2bl w:val="nil"/>
                  </w:tcBorders>
                  <w:noWrap w:val="0"/>
                  <w:vAlign w:val="center"/>
                </w:tcPr>
                <w:p w14:paraId="5DB44C88">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产品名称</w:t>
                  </w:r>
                </w:p>
              </w:tc>
              <w:tc>
                <w:tcPr>
                  <w:tcW w:w="630" w:type="pct"/>
                  <w:tcBorders>
                    <w:tl2br w:val="nil"/>
                    <w:tr2bl w:val="nil"/>
                  </w:tcBorders>
                  <w:noWrap w:val="0"/>
                  <w:vAlign w:val="center"/>
                </w:tcPr>
                <w:p w14:paraId="421AE657">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953" w:type="pct"/>
                  <w:tcBorders>
                    <w:tl2br w:val="nil"/>
                    <w:tr2bl w:val="nil"/>
                  </w:tcBorders>
                  <w:noWrap w:val="0"/>
                  <w:vAlign w:val="center"/>
                </w:tcPr>
                <w:p w14:paraId="1BDC4E2E">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生产规模</w:t>
                  </w:r>
                </w:p>
              </w:tc>
              <w:tc>
                <w:tcPr>
                  <w:tcW w:w="2409" w:type="pct"/>
                  <w:tcBorders>
                    <w:tl2br w:val="nil"/>
                    <w:tr2bl w:val="nil"/>
                  </w:tcBorders>
                  <w:noWrap w:val="0"/>
                  <w:vAlign w:val="center"/>
                </w:tcPr>
                <w:p w14:paraId="441A3A9F">
                  <w:pPr>
                    <w:spacing w:line="240" w:lineRule="auto"/>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执行标准</w:t>
                  </w:r>
                </w:p>
              </w:tc>
            </w:tr>
            <w:tr w14:paraId="3A6AB80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tblHeader/>
                <w:jc w:val="center"/>
              </w:trPr>
              <w:tc>
                <w:tcPr>
                  <w:tcW w:w="1006" w:type="pct"/>
                  <w:tcBorders>
                    <w:tl2br w:val="nil"/>
                    <w:tr2bl w:val="nil"/>
                  </w:tcBorders>
                  <w:noWrap w:val="0"/>
                  <w:vAlign w:val="center"/>
                </w:tcPr>
                <w:p w14:paraId="691A0573">
                  <w:pPr>
                    <w:spacing w:line="240" w:lineRule="auto"/>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钢化玻璃</w:t>
                  </w:r>
                </w:p>
              </w:tc>
              <w:tc>
                <w:tcPr>
                  <w:tcW w:w="630" w:type="pct"/>
                  <w:tcBorders>
                    <w:tl2br w:val="nil"/>
                    <w:tr2bl w:val="nil"/>
                  </w:tcBorders>
                  <w:noWrap w:val="0"/>
                  <w:vAlign w:val="center"/>
                </w:tcPr>
                <w:p w14:paraId="23D49EEF">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万m</w:t>
                  </w:r>
                  <w:r>
                    <w:rPr>
                      <w:rFonts w:hint="default" w:ascii="Times New Roman" w:hAnsi="Times New Roman" w:eastAsia="宋体" w:cs="Times New Roman"/>
                      <w:color w:val="auto"/>
                      <w:sz w:val="21"/>
                      <w:szCs w:val="21"/>
                      <w:vertAlign w:val="superscript"/>
                      <w:lang w:val="en-US" w:eastAsia="zh-CN"/>
                    </w:rPr>
                    <w:t>2</w:t>
                  </w:r>
                </w:p>
              </w:tc>
              <w:tc>
                <w:tcPr>
                  <w:tcW w:w="953" w:type="pct"/>
                  <w:tcBorders>
                    <w:tl2br w:val="nil"/>
                    <w:tr2bl w:val="nil"/>
                  </w:tcBorders>
                  <w:noWrap w:val="0"/>
                  <w:vAlign w:val="center"/>
                </w:tcPr>
                <w:p w14:paraId="1CB11C57">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2409" w:type="pct"/>
                  <w:tcBorders>
                    <w:tl2br w:val="nil"/>
                    <w:tr2bl w:val="nil"/>
                  </w:tcBorders>
                  <w:noWrap w:val="0"/>
                  <w:vAlign w:val="center"/>
                </w:tcPr>
                <w:p w14:paraId="62C8D1F9">
                  <w:pPr>
                    <w:spacing w:line="240" w:lineRule="auto"/>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《建筑用安全玻璃第2部分:钢化玻璃》（GB15763.2-2005）</w:t>
                  </w:r>
                </w:p>
              </w:tc>
            </w:tr>
            <w:tr w14:paraId="507280E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97" w:hRule="atLeast"/>
                <w:tblHeader/>
                <w:jc w:val="center"/>
              </w:trPr>
              <w:tc>
                <w:tcPr>
                  <w:tcW w:w="1006" w:type="pct"/>
                  <w:tcBorders>
                    <w:tl2br w:val="nil"/>
                    <w:tr2bl w:val="nil"/>
                  </w:tcBorders>
                  <w:noWrap w:val="0"/>
                  <w:vAlign w:val="center"/>
                </w:tcPr>
                <w:p w14:paraId="21F8C6A0">
                  <w:pPr>
                    <w:spacing w:line="240" w:lineRule="auto"/>
                    <w:jc w:val="center"/>
                    <w:rPr>
                      <w:rFonts w:hint="default" w:ascii="Times New Roman" w:hAnsi="Times New Roman" w:eastAsia="宋体" w:cs="Times New Roman"/>
                      <w:color w:val="auto"/>
                      <w:sz w:val="21"/>
                      <w:szCs w:val="21"/>
                      <w:lang w:val="zh-CN" w:eastAsia="zh-CN"/>
                    </w:rPr>
                  </w:pPr>
                  <w:r>
                    <w:rPr>
                      <w:rFonts w:hint="eastAsia" w:ascii="Times New Roman" w:hAnsi="Times New Roman" w:eastAsia="宋体" w:cs="Times New Roman"/>
                      <w:color w:val="auto"/>
                      <w:sz w:val="21"/>
                      <w:szCs w:val="21"/>
                      <w:lang w:val="en-US" w:eastAsia="zh-CN"/>
                    </w:rPr>
                    <w:t>中空玻璃</w:t>
                  </w:r>
                </w:p>
              </w:tc>
              <w:tc>
                <w:tcPr>
                  <w:tcW w:w="630" w:type="pct"/>
                  <w:tcBorders>
                    <w:tl2br w:val="nil"/>
                    <w:tr2bl w:val="nil"/>
                  </w:tcBorders>
                  <w:noWrap w:val="0"/>
                  <w:vAlign w:val="center"/>
                </w:tcPr>
                <w:p w14:paraId="69A014A3">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万m</w:t>
                  </w:r>
                  <w:r>
                    <w:rPr>
                      <w:rFonts w:hint="default" w:ascii="Times New Roman" w:hAnsi="Times New Roman" w:eastAsia="宋体" w:cs="Times New Roman"/>
                      <w:color w:val="auto"/>
                      <w:sz w:val="21"/>
                      <w:szCs w:val="21"/>
                      <w:vertAlign w:val="superscript"/>
                      <w:lang w:val="en-US" w:eastAsia="zh-CN"/>
                    </w:rPr>
                    <w:t>2</w:t>
                  </w:r>
                </w:p>
              </w:tc>
              <w:tc>
                <w:tcPr>
                  <w:tcW w:w="953" w:type="pct"/>
                  <w:tcBorders>
                    <w:tl2br w:val="nil"/>
                    <w:tr2bl w:val="nil"/>
                  </w:tcBorders>
                  <w:noWrap w:val="0"/>
                  <w:vAlign w:val="center"/>
                </w:tcPr>
                <w:p w14:paraId="0249A898">
                  <w:pPr>
                    <w:spacing w:line="240" w:lineRule="auto"/>
                    <w:jc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2409" w:type="pct"/>
                  <w:tcBorders>
                    <w:tl2br w:val="nil"/>
                    <w:tr2bl w:val="nil"/>
                  </w:tcBorders>
                  <w:noWrap w:val="0"/>
                  <w:vAlign w:val="center"/>
                </w:tcPr>
                <w:p w14:paraId="37EBA103">
                  <w:pPr>
                    <w:spacing w:line="240" w:lineRule="auto"/>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《中空玻璃》（GB/T11944-2012）</w:t>
                  </w:r>
                </w:p>
              </w:tc>
            </w:tr>
          </w:tbl>
          <w:p w14:paraId="1260096A">
            <w:pPr>
              <w:autoSpaceDE w:val="0"/>
              <w:autoSpaceDN w:val="0"/>
              <w:adjustRightInd w:val="0"/>
              <w:spacing w:line="360" w:lineRule="auto"/>
              <w:jc w:val="left"/>
              <w:rPr>
                <w:rFonts w:hint="eastAsia" w:ascii="Times New Roman" w:hAnsi="Times New Roman" w:eastAsia="宋体" w:cs="Times New Roman"/>
                <w:b/>
                <w:bCs/>
                <w:color w:val="auto"/>
                <w:kern w:val="0"/>
                <w:sz w:val="24"/>
                <w:szCs w:val="24"/>
                <w:lang w:val="en-US" w:eastAsia="zh-CN"/>
              </w:rPr>
            </w:pPr>
            <w:r>
              <w:rPr>
                <w:rFonts w:hint="eastAsia" w:cs="Times New Roman"/>
                <w:b/>
                <w:bCs/>
                <w:color w:val="auto"/>
                <w:kern w:val="0"/>
                <w:sz w:val="24"/>
                <w:szCs w:val="24"/>
                <w:lang w:val="en-US" w:eastAsia="zh-CN"/>
              </w:rPr>
              <w:t>4</w:t>
            </w:r>
            <w:r>
              <w:rPr>
                <w:rFonts w:hint="eastAsia" w:ascii="Times New Roman" w:hAnsi="Times New Roman" w:eastAsia="宋体" w:cs="Times New Roman"/>
                <w:b/>
                <w:bCs/>
                <w:color w:val="auto"/>
                <w:kern w:val="0"/>
                <w:sz w:val="24"/>
                <w:szCs w:val="24"/>
                <w:lang w:val="en-US" w:eastAsia="zh-CN"/>
              </w:rPr>
              <w:t>、主要设备</w:t>
            </w:r>
          </w:p>
          <w:p w14:paraId="19825DD1">
            <w:pPr>
              <w:autoSpaceDE w:val="0"/>
              <w:autoSpaceDN w:val="0"/>
              <w:adjustRightInd w:val="0"/>
              <w:spacing w:line="360" w:lineRule="auto"/>
              <w:ind w:firstLine="480" w:firstLineChars="200"/>
              <w:rPr>
                <w:rFonts w:hint="eastAsia"/>
                <w:kern w:val="0"/>
                <w:sz w:val="24"/>
              </w:rPr>
            </w:pPr>
            <w:r>
              <w:rPr>
                <w:rFonts w:hint="eastAsia"/>
                <w:kern w:val="0"/>
                <w:sz w:val="24"/>
              </w:rPr>
              <w:t>项目生产过程用到的主要生产设备</w:t>
            </w:r>
            <w:r>
              <w:rPr>
                <w:kern w:val="0"/>
                <w:sz w:val="24"/>
              </w:rPr>
              <w:t>见下表所示</w:t>
            </w:r>
            <w:r>
              <w:rPr>
                <w:rFonts w:hint="eastAsia"/>
                <w:kern w:val="0"/>
                <w:sz w:val="24"/>
              </w:rPr>
              <w:t>：</w:t>
            </w:r>
          </w:p>
          <w:p w14:paraId="676C12D6">
            <w:pPr>
              <w:pStyle w:val="75"/>
              <w:tabs>
                <w:tab w:val="clear" w:pos="720"/>
              </w:tabs>
              <w:spacing w:beforeLines="0" w:afterLines="0" w:line="360" w:lineRule="auto"/>
              <w:ind w:left="0" w:firstLine="0"/>
              <w:rPr>
                <w:rFonts w:hint="eastAsia" w:eastAsia="宋体"/>
                <w:b/>
                <w:color w:val="auto"/>
                <w:sz w:val="21"/>
                <w:szCs w:val="21"/>
                <w:lang w:val="zh-CN" w:eastAsia="zh-CN"/>
              </w:rPr>
            </w:pPr>
            <w:r>
              <w:rPr>
                <w:rFonts w:hint="eastAsia" w:eastAsia="宋体"/>
                <w:b/>
                <w:color w:val="auto"/>
                <w:sz w:val="21"/>
                <w:szCs w:val="21"/>
                <w:lang w:val="zh-CN" w:eastAsia="zh-CN"/>
              </w:rPr>
              <w:t>表</w:t>
            </w:r>
            <w:r>
              <w:rPr>
                <w:rFonts w:hint="eastAsia" w:eastAsia="宋体"/>
                <w:b/>
                <w:color w:val="auto"/>
                <w:sz w:val="21"/>
                <w:szCs w:val="21"/>
                <w:lang w:val="en-US" w:eastAsia="zh-CN"/>
              </w:rPr>
              <w:t>2</w:t>
            </w:r>
            <w:r>
              <w:rPr>
                <w:rFonts w:hint="eastAsia" w:eastAsia="宋体"/>
                <w:b/>
                <w:color w:val="auto"/>
                <w:sz w:val="21"/>
                <w:szCs w:val="21"/>
                <w:lang w:val="zh-CN" w:eastAsia="zh-CN"/>
              </w:rPr>
              <w:t>-</w:t>
            </w:r>
            <w:r>
              <w:rPr>
                <w:rFonts w:hint="eastAsia" w:eastAsia="宋体"/>
                <w:b/>
                <w:color w:val="auto"/>
                <w:sz w:val="21"/>
                <w:szCs w:val="21"/>
                <w:lang w:val="en-US" w:eastAsia="zh-CN"/>
              </w:rPr>
              <w:t>3</w:t>
            </w:r>
            <w:r>
              <w:rPr>
                <w:rFonts w:hint="eastAsia" w:eastAsia="宋体"/>
                <w:b/>
                <w:color w:val="auto"/>
                <w:sz w:val="21"/>
                <w:szCs w:val="21"/>
                <w:lang w:val="zh-CN" w:eastAsia="zh-CN"/>
              </w:rPr>
              <w:t xml:space="preserve">  建设项目主要生产设备一览表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96"/>
              <w:gridCol w:w="1500"/>
              <w:gridCol w:w="2569"/>
              <w:gridCol w:w="2780"/>
              <w:gridCol w:w="1095"/>
              <w:gridCol w:w="634"/>
            </w:tblGrid>
            <w:tr w14:paraId="0D4440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2DDEA4F2">
                  <w:pPr>
                    <w:widowControl/>
                    <w:adjustRightInd w:val="0"/>
                    <w:snapToGrid w:val="0"/>
                    <w:jc w:val="center"/>
                    <w:textAlignment w:val="center"/>
                    <w:rPr>
                      <w:b/>
                      <w:bCs/>
                      <w:color w:val="auto"/>
                      <w:szCs w:val="21"/>
                    </w:rPr>
                  </w:pPr>
                  <w:r>
                    <w:rPr>
                      <w:b/>
                      <w:bCs/>
                      <w:color w:val="auto"/>
                      <w:kern w:val="0"/>
                      <w:szCs w:val="21"/>
                    </w:rPr>
                    <w:t>序号</w:t>
                  </w:r>
                </w:p>
              </w:tc>
              <w:tc>
                <w:tcPr>
                  <w:tcW w:w="826" w:type="pct"/>
                  <w:tcBorders>
                    <w:tl2br w:val="nil"/>
                    <w:tr2bl w:val="nil"/>
                  </w:tcBorders>
                  <w:noWrap/>
                  <w:tcMar>
                    <w:top w:w="15" w:type="dxa"/>
                    <w:left w:w="15" w:type="dxa"/>
                    <w:right w:w="15" w:type="dxa"/>
                  </w:tcMar>
                  <w:vAlign w:val="center"/>
                </w:tcPr>
                <w:p w14:paraId="2780022E">
                  <w:pPr>
                    <w:widowControl/>
                    <w:adjustRightInd w:val="0"/>
                    <w:snapToGrid w:val="0"/>
                    <w:jc w:val="center"/>
                    <w:textAlignment w:val="center"/>
                    <w:rPr>
                      <w:rFonts w:hint="eastAsia" w:eastAsia="宋体"/>
                      <w:b/>
                      <w:bCs/>
                      <w:color w:val="auto"/>
                      <w:kern w:val="0"/>
                      <w:szCs w:val="21"/>
                      <w:lang w:eastAsia="zh-CN"/>
                    </w:rPr>
                  </w:pPr>
                  <w:r>
                    <w:rPr>
                      <w:rFonts w:hint="eastAsia"/>
                      <w:b/>
                      <w:bCs/>
                      <w:color w:val="auto"/>
                      <w:kern w:val="0"/>
                      <w:szCs w:val="21"/>
                      <w:lang w:eastAsia="zh-CN"/>
                    </w:rPr>
                    <w:t>生产线</w:t>
                  </w:r>
                </w:p>
              </w:tc>
              <w:tc>
                <w:tcPr>
                  <w:tcW w:w="1415" w:type="pct"/>
                  <w:tcBorders>
                    <w:tl2br w:val="nil"/>
                    <w:tr2bl w:val="nil"/>
                  </w:tcBorders>
                  <w:noWrap/>
                  <w:tcMar>
                    <w:top w:w="15" w:type="dxa"/>
                    <w:left w:w="15" w:type="dxa"/>
                    <w:right w:w="15" w:type="dxa"/>
                  </w:tcMar>
                  <w:vAlign w:val="center"/>
                </w:tcPr>
                <w:p w14:paraId="161D321F">
                  <w:pPr>
                    <w:widowControl/>
                    <w:adjustRightInd w:val="0"/>
                    <w:snapToGrid w:val="0"/>
                    <w:jc w:val="center"/>
                    <w:textAlignment w:val="center"/>
                    <w:rPr>
                      <w:b/>
                      <w:bCs/>
                      <w:color w:val="auto"/>
                      <w:szCs w:val="21"/>
                    </w:rPr>
                  </w:pPr>
                  <w:r>
                    <w:rPr>
                      <w:b/>
                      <w:bCs/>
                      <w:color w:val="auto"/>
                      <w:kern w:val="0"/>
                      <w:szCs w:val="21"/>
                    </w:rPr>
                    <w:t>名称</w:t>
                  </w:r>
                </w:p>
              </w:tc>
              <w:tc>
                <w:tcPr>
                  <w:tcW w:w="1531" w:type="pct"/>
                  <w:tcBorders>
                    <w:tl2br w:val="nil"/>
                    <w:tr2bl w:val="nil"/>
                  </w:tcBorders>
                  <w:noWrap/>
                  <w:tcMar>
                    <w:top w:w="15" w:type="dxa"/>
                    <w:left w:w="15" w:type="dxa"/>
                    <w:right w:w="15" w:type="dxa"/>
                  </w:tcMar>
                  <w:vAlign w:val="center"/>
                </w:tcPr>
                <w:p w14:paraId="3F561FC9">
                  <w:pPr>
                    <w:widowControl/>
                    <w:adjustRightInd w:val="0"/>
                    <w:snapToGrid w:val="0"/>
                    <w:jc w:val="center"/>
                    <w:textAlignment w:val="center"/>
                    <w:rPr>
                      <w:b/>
                      <w:bCs/>
                      <w:color w:val="auto"/>
                      <w:szCs w:val="21"/>
                    </w:rPr>
                  </w:pPr>
                  <w:r>
                    <w:rPr>
                      <w:b/>
                      <w:bCs/>
                      <w:color w:val="auto"/>
                      <w:kern w:val="0"/>
                      <w:szCs w:val="21"/>
                    </w:rPr>
                    <w:t>型号</w:t>
                  </w:r>
                </w:p>
              </w:tc>
              <w:tc>
                <w:tcPr>
                  <w:tcW w:w="603" w:type="pct"/>
                  <w:tcBorders>
                    <w:tl2br w:val="nil"/>
                    <w:tr2bl w:val="nil"/>
                  </w:tcBorders>
                  <w:noWrap/>
                  <w:tcMar>
                    <w:top w:w="15" w:type="dxa"/>
                    <w:left w:w="15" w:type="dxa"/>
                    <w:right w:w="15" w:type="dxa"/>
                  </w:tcMar>
                  <w:vAlign w:val="center"/>
                </w:tcPr>
                <w:p w14:paraId="31BD65EF">
                  <w:pPr>
                    <w:widowControl/>
                    <w:adjustRightInd w:val="0"/>
                    <w:snapToGrid w:val="0"/>
                    <w:jc w:val="center"/>
                    <w:textAlignment w:val="center"/>
                    <w:rPr>
                      <w:b/>
                      <w:bCs/>
                      <w:color w:val="auto"/>
                      <w:szCs w:val="21"/>
                    </w:rPr>
                  </w:pPr>
                  <w:r>
                    <w:rPr>
                      <w:b/>
                      <w:bCs/>
                      <w:color w:val="auto"/>
                      <w:kern w:val="0"/>
                      <w:szCs w:val="21"/>
                    </w:rPr>
                    <w:t>单位</w:t>
                  </w:r>
                </w:p>
              </w:tc>
              <w:tc>
                <w:tcPr>
                  <w:tcW w:w="349" w:type="pct"/>
                  <w:tcBorders>
                    <w:tl2br w:val="nil"/>
                    <w:tr2bl w:val="nil"/>
                  </w:tcBorders>
                  <w:noWrap/>
                  <w:tcMar>
                    <w:top w:w="15" w:type="dxa"/>
                    <w:left w:w="15" w:type="dxa"/>
                    <w:right w:w="15" w:type="dxa"/>
                  </w:tcMar>
                  <w:vAlign w:val="center"/>
                </w:tcPr>
                <w:p w14:paraId="52337FE9">
                  <w:pPr>
                    <w:widowControl/>
                    <w:adjustRightInd w:val="0"/>
                    <w:snapToGrid w:val="0"/>
                    <w:jc w:val="center"/>
                    <w:textAlignment w:val="center"/>
                    <w:rPr>
                      <w:b/>
                      <w:bCs/>
                      <w:color w:val="auto"/>
                      <w:szCs w:val="21"/>
                    </w:rPr>
                  </w:pPr>
                  <w:r>
                    <w:rPr>
                      <w:b/>
                      <w:bCs/>
                      <w:color w:val="auto"/>
                      <w:kern w:val="0"/>
                      <w:szCs w:val="21"/>
                    </w:rPr>
                    <w:t>数量</w:t>
                  </w:r>
                </w:p>
              </w:tc>
            </w:tr>
            <w:tr w14:paraId="3749E3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25EFB2C7">
                  <w:pPr>
                    <w:widowControl/>
                    <w:adjustRightInd w:val="0"/>
                    <w:snapToGrid w:val="0"/>
                    <w:jc w:val="center"/>
                    <w:textAlignment w:val="center"/>
                    <w:rPr>
                      <w:color w:val="auto"/>
                      <w:szCs w:val="21"/>
                    </w:rPr>
                  </w:pPr>
                  <w:r>
                    <w:rPr>
                      <w:color w:val="auto"/>
                      <w:kern w:val="0"/>
                      <w:szCs w:val="21"/>
                    </w:rPr>
                    <w:t>1</w:t>
                  </w:r>
                </w:p>
              </w:tc>
              <w:tc>
                <w:tcPr>
                  <w:tcW w:w="826" w:type="pct"/>
                  <w:vMerge w:val="restart"/>
                  <w:tcBorders>
                    <w:tl2br w:val="nil"/>
                    <w:tr2bl w:val="nil"/>
                  </w:tcBorders>
                  <w:noWrap/>
                  <w:tcMar>
                    <w:top w:w="15" w:type="dxa"/>
                    <w:left w:w="15" w:type="dxa"/>
                    <w:right w:w="15" w:type="dxa"/>
                  </w:tcMar>
                  <w:vAlign w:val="center"/>
                </w:tcPr>
                <w:p w14:paraId="5BB767EA">
                  <w:pPr>
                    <w:widowControl/>
                    <w:adjustRightInd w:val="0"/>
                    <w:snapToGrid w:val="0"/>
                    <w:jc w:val="center"/>
                    <w:textAlignment w:val="center"/>
                    <w:rPr>
                      <w:rFonts w:hint="eastAsia"/>
                      <w:color w:val="auto"/>
                      <w:szCs w:val="21"/>
                      <w:lang w:eastAsia="zh-CN"/>
                    </w:rPr>
                  </w:pPr>
                  <w:r>
                    <w:rPr>
                      <w:rFonts w:hint="eastAsia"/>
                      <w:color w:val="auto"/>
                      <w:szCs w:val="21"/>
                      <w:lang w:eastAsia="zh-CN"/>
                    </w:rPr>
                    <w:t>钢化玻璃生产线</w:t>
                  </w:r>
                </w:p>
              </w:tc>
              <w:tc>
                <w:tcPr>
                  <w:tcW w:w="1415" w:type="pct"/>
                  <w:tcBorders>
                    <w:tl2br w:val="nil"/>
                    <w:tr2bl w:val="nil"/>
                  </w:tcBorders>
                  <w:noWrap/>
                  <w:tcMar>
                    <w:top w:w="15" w:type="dxa"/>
                    <w:left w:w="15" w:type="dxa"/>
                    <w:right w:w="15" w:type="dxa"/>
                  </w:tcMar>
                  <w:vAlign w:val="center"/>
                </w:tcPr>
                <w:p w14:paraId="69F0ADEE">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切割机</w:t>
                  </w:r>
                </w:p>
              </w:tc>
              <w:tc>
                <w:tcPr>
                  <w:tcW w:w="1531" w:type="pct"/>
                  <w:tcBorders>
                    <w:tl2br w:val="nil"/>
                    <w:tr2bl w:val="nil"/>
                  </w:tcBorders>
                  <w:noWrap/>
                  <w:tcMar>
                    <w:top w:w="15" w:type="dxa"/>
                    <w:left w:w="15" w:type="dxa"/>
                    <w:right w:w="15" w:type="dxa"/>
                  </w:tcMar>
                  <w:vAlign w:val="center"/>
                </w:tcPr>
                <w:p w14:paraId="4E91DB80">
                  <w:pPr>
                    <w:widowControl/>
                    <w:adjustRightInd w:val="0"/>
                    <w:snapToGrid w:val="0"/>
                    <w:jc w:val="center"/>
                    <w:textAlignment w:val="center"/>
                    <w:rPr>
                      <w:rFonts w:hint="default" w:eastAsia="宋体"/>
                      <w:color w:val="auto"/>
                      <w:szCs w:val="21"/>
                      <w:lang w:val="en-US" w:eastAsia="zh-CN"/>
                    </w:rPr>
                  </w:pPr>
                  <w:r>
                    <w:rPr>
                      <w:rFonts w:hint="eastAsia"/>
                      <w:color w:val="auto"/>
                      <w:szCs w:val="21"/>
                      <w:lang w:val="en-US" w:eastAsia="zh-CN"/>
                    </w:rPr>
                    <w:t>5133</w:t>
                  </w:r>
                </w:p>
              </w:tc>
              <w:tc>
                <w:tcPr>
                  <w:tcW w:w="603" w:type="pct"/>
                  <w:tcBorders>
                    <w:tl2br w:val="nil"/>
                    <w:tr2bl w:val="nil"/>
                  </w:tcBorders>
                  <w:noWrap/>
                  <w:tcMar>
                    <w:top w:w="15" w:type="dxa"/>
                    <w:left w:w="15" w:type="dxa"/>
                    <w:right w:w="15" w:type="dxa"/>
                  </w:tcMar>
                  <w:vAlign w:val="center"/>
                </w:tcPr>
                <w:p w14:paraId="4C7635A8">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46B5457F">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1</w:t>
                  </w:r>
                </w:p>
              </w:tc>
            </w:tr>
            <w:tr w14:paraId="07F71B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1BE7CA04">
                  <w:pPr>
                    <w:widowControl/>
                    <w:adjustRightInd w:val="0"/>
                    <w:snapToGrid w:val="0"/>
                    <w:jc w:val="center"/>
                    <w:textAlignment w:val="center"/>
                    <w:rPr>
                      <w:color w:val="auto"/>
                      <w:kern w:val="0"/>
                      <w:szCs w:val="21"/>
                    </w:rPr>
                  </w:pPr>
                  <w:r>
                    <w:rPr>
                      <w:color w:val="auto"/>
                      <w:kern w:val="0"/>
                      <w:szCs w:val="21"/>
                    </w:rPr>
                    <w:t>2</w:t>
                  </w:r>
                </w:p>
              </w:tc>
              <w:tc>
                <w:tcPr>
                  <w:tcW w:w="826" w:type="pct"/>
                  <w:vMerge w:val="continue"/>
                  <w:tcBorders>
                    <w:tl2br w:val="nil"/>
                    <w:tr2bl w:val="nil"/>
                  </w:tcBorders>
                  <w:noWrap/>
                  <w:tcMar>
                    <w:top w:w="15" w:type="dxa"/>
                    <w:left w:w="15" w:type="dxa"/>
                    <w:right w:w="15" w:type="dxa"/>
                  </w:tcMar>
                  <w:vAlign w:val="center"/>
                </w:tcPr>
                <w:p w14:paraId="6F29998D">
                  <w:pPr>
                    <w:widowControl/>
                    <w:adjustRightInd w:val="0"/>
                    <w:snapToGrid w:val="0"/>
                    <w:jc w:val="center"/>
                    <w:textAlignment w:val="center"/>
                  </w:pPr>
                </w:p>
              </w:tc>
              <w:tc>
                <w:tcPr>
                  <w:tcW w:w="1415" w:type="pct"/>
                  <w:tcBorders>
                    <w:tl2br w:val="nil"/>
                    <w:tr2bl w:val="nil"/>
                  </w:tcBorders>
                  <w:noWrap/>
                  <w:tcMar>
                    <w:top w:w="15" w:type="dxa"/>
                    <w:left w:w="15" w:type="dxa"/>
                    <w:right w:w="15" w:type="dxa"/>
                  </w:tcMar>
                  <w:vAlign w:val="center"/>
                </w:tcPr>
                <w:p w14:paraId="3539F9E5">
                  <w:pPr>
                    <w:widowControl/>
                    <w:adjustRightInd w:val="0"/>
                    <w:snapToGrid w:val="0"/>
                    <w:jc w:val="center"/>
                    <w:textAlignment w:val="center"/>
                    <w:rPr>
                      <w:rFonts w:hint="eastAsia" w:eastAsia="宋体"/>
                      <w:color w:val="auto"/>
                      <w:kern w:val="0"/>
                      <w:szCs w:val="21"/>
                      <w:lang w:eastAsia="zh-CN"/>
                    </w:rPr>
                  </w:pPr>
                  <w:r>
                    <w:rPr>
                      <w:rFonts w:hint="eastAsia"/>
                      <w:color w:val="auto"/>
                      <w:kern w:val="0"/>
                      <w:szCs w:val="21"/>
                      <w:lang w:eastAsia="zh-CN"/>
                    </w:rPr>
                    <w:t>打磨机</w:t>
                  </w:r>
                </w:p>
              </w:tc>
              <w:tc>
                <w:tcPr>
                  <w:tcW w:w="1531" w:type="pct"/>
                  <w:tcBorders>
                    <w:tl2br w:val="nil"/>
                    <w:tr2bl w:val="nil"/>
                  </w:tcBorders>
                  <w:noWrap/>
                  <w:tcMar>
                    <w:top w:w="15" w:type="dxa"/>
                    <w:left w:w="15" w:type="dxa"/>
                    <w:right w:w="15" w:type="dxa"/>
                  </w:tcMar>
                  <w:vAlign w:val="center"/>
                </w:tcPr>
                <w:p w14:paraId="3840E0FC">
                  <w:pPr>
                    <w:widowControl/>
                    <w:adjustRightInd w:val="0"/>
                    <w:snapToGrid w:val="0"/>
                    <w:jc w:val="center"/>
                    <w:textAlignment w:val="center"/>
                    <w:rPr>
                      <w:rFonts w:hint="default" w:eastAsia="宋体"/>
                      <w:color w:val="auto"/>
                      <w:kern w:val="0"/>
                      <w:szCs w:val="21"/>
                      <w:lang w:val="en-US" w:eastAsia="zh-CN"/>
                    </w:rPr>
                  </w:pPr>
                  <w:r>
                    <w:rPr>
                      <w:rFonts w:hint="eastAsia"/>
                      <w:color w:val="auto"/>
                      <w:kern w:val="0"/>
                      <w:szCs w:val="21"/>
                      <w:lang w:val="en-US" w:eastAsia="zh-CN"/>
                    </w:rPr>
                    <w:t>5030</w:t>
                  </w:r>
                </w:p>
              </w:tc>
              <w:tc>
                <w:tcPr>
                  <w:tcW w:w="603" w:type="pct"/>
                  <w:tcBorders>
                    <w:tl2br w:val="nil"/>
                    <w:tr2bl w:val="nil"/>
                  </w:tcBorders>
                  <w:noWrap/>
                  <w:tcMar>
                    <w:top w:w="15" w:type="dxa"/>
                    <w:left w:w="15" w:type="dxa"/>
                    <w:right w:w="15" w:type="dxa"/>
                  </w:tcMar>
                  <w:vAlign w:val="center"/>
                </w:tcPr>
                <w:p w14:paraId="166541F8">
                  <w:pPr>
                    <w:widowControl/>
                    <w:adjustRightInd w:val="0"/>
                    <w:snapToGrid w:val="0"/>
                    <w:jc w:val="center"/>
                    <w:textAlignment w:val="center"/>
                    <w:rPr>
                      <w:rFonts w:hint="eastAsia" w:eastAsia="宋体"/>
                      <w:color w:val="auto"/>
                      <w:kern w:val="0"/>
                      <w:szCs w:val="21"/>
                      <w:lang w:eastAsia="zh-CN"/>
                    </w:rPr>
                  </w:pPr>
                  <w:r>
                    <w:rPr>
                      <w:rFonts w:hint="eastAsia"/>
                      <w:color w:val="auto"/>
                      <w:kern w:val="0"/>
                      <w:szCs w:val="21"/>
                      <w:lang w:eastAsia="zh-CN"/>
                    </w:rPr>
                    <w:t>台</w:t>
                  </w:r>
                </w:p>
              </w:tc>
              <w:tc>
                <w:tcPr>
                  <w:tcW w:w="349" w:type="pct"/>
                  <w:tcBorders>
                    <w:tl2br w:val="nil"/>
                    <w:tr2bl w:val="nil"/>
                  </w:tcBorders>
                  <w:noWrap/>
                  <w:tcMar>
                    <w:top w:w="15" w:type="dxa"/>
                    <w:left w:w="15" w:type="dxa"/>
                    <w:right w:w="15" w:type="dxa"/>
                  </w:tcMar>
                  <w:vAlign w:val="center"/>
                </w:tcPr>
                <w:p w14:paraId="0B8AB649">
                  <w:pPr>
                    <w:widowControl/>
                    <w:adjustRightInd w:val="0"/>
                    <w:snapToGrid w:val="0"/>
                    <w:jc w:val="center"/>
                    <w:textAlignment w:val="center"/>
                    <w:rPr>
                      <w:rFonts w:hint="eastAsia" w:eastAsia="宋体"/>
                      <w:color w:val="auto"/>
                      <w:kern w:val="0"/>
                      <w:szCs w:val="21"/>
                      <w:lang w:val="en-US" w:eastAsia="zh-CN"/>
                    </w:rPr>
                  </w:pPr>
                  <w:r>
                    <w:rPr>
                      <w:rFonts w:hint="eastAsia"/>
                      <w:color w:val="auto"/>
                      <w:kern w:val="0"/>
                      <w:szCs w:val="21"/>
                      <w:lang w:val="en-US" w:eastAsia="zh-CN"/>
                    </w:rPr>
                    <w:t>1</w:t>
                  </w:r>
                </w:p>
              </w:tc>
            </w:tr>
            <w:tr w14:paraId="0F381E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47AD8B20">
                  <w:pPr>
                    <w:widowControl/>
                    <w:adjustRightInd w:val="0"/>
                    <w:snapToGrid w:val="0"/>
                    <w:jc w:val="center"/>
                    <w:textAlignment w:val="center"/>
                    <w:rPr>
                      <w:color w:val="auto"/>
                      <w:szCs w:val="21"/>
                    </w:rPr>
                  </w:pPr>
                  <w:r>
                    <w:rPr>
                      <w:color w:val="auto"/>
                      <w:kern w:val="0"/>
                      <w:szCs w:val="21"/>
                    </w:rPr>
                    <w:t>3</w:t>
                  </w:r>
                </w:p>
              </w:tc>
              <w:tc>
                <w:tcPr>
                  <w:tcW w:w="826" w:type="pct"/>
                  <w:vMerge w:val="continue"/>
                  <w:tcBorders>
                    <w:tl2br w:val="nil"/>
                    <w:tr2bl w:val="nil"/>
                  </w:tcBorders>
                  <w:noWrap/>
                  <w:tcMar>
                    <w:top w:w="15" w:type="dxa"/>
                    <w:left w:w="15" w:type="dxa"/>
                    <w:right w:w="15" w:type="dxa"/>
                  </w:tcMar>
                  <w:vAlign w:val="center"/>
                </w:tcPr>
                <w:p w14:paraId="4FECF6E2">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259135AB">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清洗机</w:t>
                  </w:r>
                </w:p>
              </w:tc>
              <w:tc>
                <w:tcPr>
                  <w:tcW w:w="1531" w:type="pct"/>
                  <w:tcBorders>
                    <w:tl2br w:val="nil"/>
                    <w:tr2bl w:val="nil"/>
                  </w:tcBorders>
                  <w:noWrap/>
                  <w:tcMar>
                    <w:top w:w="15" w:type="dxa"/>
                    <w:left w:w="15" w:type="dxa"/>
                    <w:right w:w="15" w:type="dxa"/>
                  </w:tcMar>
                  <w:vAlign w:val="center"/>
                </w:tcPr>
                <w:p w14:paraId="2EAC202F">
                  <w:pPr>
                    <w:widowControl/>
                    <w:adjustRightInd w:val="0"/>
                    <w:snapToGrid w:val="0"/>
                    <w:jc w:val="center"/>
                    <w:textAlignment w:val="center"/>
                    <w:rPr>
                      <w:rFonts w:hint="default" w:eastAsia="宋体"/>
                      <w:color w:val="auto"/>
                      <w:szCs w:val="21"/>
                      <w:lang w:val="en-US" w:eastAsia="zh-CN"/>
                    </w:rPr>
                  </w:pPr>
                  <w:r>
                    <w:rPr>
                      <w:rFonts w:hint="eastAsia"/>
                      <w:color w:val="auto"/>
                      <w:szCs w:val="21"/>
                      <w:lang w:val="en-US" w:eastAsia="zh-CN"/>
                    </w:rPr>
                    <w:t>S3000-G4</w:t>
                  </w:r>
                </w:p>
              </w:tc>
              <w:tc>
                <w:tcPr>
                  <w:tcW w:w="603" w:type="pct"/>
                  <w:tcBorders>
                    <w:tl2br w:val="nil"/>
                    <w:tr2bl w:val="nil"/>
                  </w:tcBorders>
                  <w:noWrap/>
                  <w:tcMar>
                    <w:top w:w="15" w:type="dxa"/>
                    <w:left w:w="15" w:type="dxa"/>
                    <w:right w:w="15" w:type="dxa"/>
                  </w:tcMar>
                  <w:vAlign w:val="center"/>
                </w:tcPr>
                <w:p w14:paraId="04065832">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658F9F57">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1</w:t>
                  </w:r>
                </w:p>
              </w:tc>
            </w:tr>
            <w:tr w14:paraId="41BC05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498C1415">
                  <w:pPr>
                    <w:widowControl/>
                    <w:adjustRightInd w:val="0"/>
                    <w:snapToGrid w:val="0"/>
                    <w:jc w:val="center"/>
                    <w:textAlignment w:val="center"/>
                    <w:rPr>
                      <w:color w:val="auto"/>
                      <w:kern w:val="0"/>
                      <w:szCs w:val="21"/>
                    </w:rPr>
                  </w:pPr>
                </w:p>
              </w:tc>
              <w:tc>
                <w:tcPr>
                  <w:tcW w:w="826" w:type="pct"/>
                  <w:vMerge w:val="continue"/>
                  <w:tcBorders>
                    <w:tl2br w:val="nil"/>
                    <w:tr2bl w:val="nil"/>
                  </w:tcBorders>
                  <w:noWrap/>
                  <w:tcMar>
                    <w:top w:w="15" w:type="dxa"/>
                    <w:left w:w="15" w:type="dxa"/>
                    <w:right w:w="15" w:type="dxa"/>
                  </w:tcMar>
                  <w:vAlign w:val="center"/>
                </w:tcPr>
                <w:p w14:paraId="4AF4591C">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7F1B8681">
                  <w:pPr>
                    <w:widowControl/>
                    <w:adjustRightInd w:val="0"/>
                    <w:snapToGrid w:val="0"/>
                    <w:jc w:val="center"/>
                    <w:textAlignment w:val="center"/>
                    <w:rPr>
                      <w:rFonts w:hint="eastAsia"/>
                      <w:color w:val="auto"/>
                      <w:szCs w:val="21"/>
                      <w:lang w:eastAsia="zh-CN"/>
                    </w:rPr>
                  </w:pPr>
                  <w:r>
                    <w:rPr>
                      <w:rFonts w:hint="eastAsia"/>
                      <w:color w:val="auto"/>
                      <w:szCs w:val="21"/>
                      <w:lang w:eastAsia="zh-CN"/>
                    </w:rPr>
                    <w:t>中转台</w:t>
                  </w:r>
                </w:p>
              </w:tc>
              <w:tc>
                <w:tcPr>
                  <w:tcW w:w="1531" w:type="pct"/>
                  <w:tcBorders>
                    <w:tl2br w:val="nil"/>
                    <w:tr2bl w:val="nil"/>
                  </w:tcBorders>
                  <w:noWrap/>
                  <w:tcMar>
                    <w:top w:w="15" w:type="dxa"/>
                    <w:left w:w="15" w:type="dxa"/>
                    <w:right w:w="15" w:type="dxa"/>
                  </w:tcMar>
                  <w:vAlign w:val="center"/>
                </w:tcPr>
                <w:p w14:paraId="0E439F5A">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w:t>
                  </w:r>
                </w:p>
              </w:tc>
              <w:tc>
                <w:tcPr>
                  <w:tcW w:w="603" w:type="pct"/>
                  <w:tcBorders>
                    <w:tl2br w:val="nil"/>
                    <w:tr2bl w:val="nil"/>
                  </w:tcBorders>
                  <w:noWrap/>
                  <w:tcMar>
                    <w:top w:w="15" w:type="dxa"/>
                    <w:left w:w="15" w:type="dxa"/>
                    <w:right w:w="15" w:type="dxa"/>
                  </w:tcMar>
                  <w:vAlign w:val="center"/>
                </w:tcPr>
                <w:p w14:paraId="7AA26D35">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11798CCD">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1</w:t>
                  </w:r>
                </w:p>
              </w:tc>
            </w:tr>
            <w:tr w14:paraId="07B947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30AC551D">
                  <w:pPr>
                    <w:widowControl/>
                    <w:adjustRightInd w:val="0"/>
                    <w:snapToGrid w:val="0"/>
                    <w:jc w:val="center"/>
                    <w:textAlignment w:val="center"/>
                    <w:rPr>
                      <w:color w:val="auto"/>
                      <w:kern w:val="0"/>
                      <w:szCs w:val="21"/>
                    </w:rPr>
                  </w:pPr>
                </w:p>
              </w:tc>
              <w:tc>
                <w:tcPr>
                  <w:tcW w:w="826" w:type="pct"/>
                  <w:vMerge w:val="continue"/>
                  <w:tcBorders>
                    <w:tl2br w:val="nil"/>
                    <w:tr2bl w:val="nil"/>
                  </w:tcBorders>
                  <w:noWrap/>
                  <w:tcMar>
                    <w:top w:w="15" w:type="dxa"/>
                    <w:left w:w="15" w:type="dxa"/>
                    <w:right w:w="15" w:type="dxa"/>
                  </w:tcMar>
                  <w:vAlign w:val="center"/>
                </w:tcPr>
                <w:p w14:paraId="11F9308C">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1D060AFA">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叉车</w:t>
                  </w:r>
                </w:p>
              </w:tc>
              <w:tc>
                <w:tcPr>
                  <w:tcW w:w="1531" w:type="pct"/>
                  <w:tcBorders>
                    <w:tl2br w:val="nil"/>
                    <w:tr2bl w:val="nil"/>
                  </w:tcBorders>
                  <w:noWrap/>
                  <w:tcMar>
                    <w:top w:w="15" w:type="dxa"/>
                    <w:left w:w="15" w:type="dxa"/>
                    <w:right w:w="15" w:type="dxa"/>
                  </w:tcMar>
                  <w:vAlign w:val="center"/>
                </w:tcPr>
                <w:p w14:paraId="595A1A47">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w:t>
                  </w:r>
                </w:p>
              </w:tc>
              <w:tc>
                <w:tcPr>
                  <w:tcW w:w="603" w:type="pct"/>
                  <w:tcBorders>
                    <w:tl2br w:val="nil"/>
                    <w:tr2bl w:val="nil"/>
                  </w:tcBorders>
                  <w:noWrap/>
                  <w:tcMar>
                    <w:top w:w="15" w:type="dxa"/>
                    <w:left w:w="15" w:type="dxa"/>
                    <w:right w:w="15" w:type="dxa"/>
                  </w:tcMar>
                  <w:vAlign w:val="center"/>
                </w:tcPr>
                <w:p w14:paraId="7AF1DFD9">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71C1D22C">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3</w:t>
                  </w:r>
                </w:p>
              </w:tc>
            </w:tr>
            <w:tr w14:paraId="4C3628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6DA04234">
                  <w:pPr>
                    <w:widowControl/>
                    <w:adjustRightInd w:val="0"/>
                    <w:snapToGrid w:val="0"/>
                    <w:jc w:val="center"/>
                    <w:textAlignment w:val="center"/>
                    <w:rPr>
                      <w:color w:val="auto"/>
                      <w:szCs w:val="21"/>
                    </w:rPr>
                  </w:pPr>
                  <w:r>
                    <w:rPr>
                      <w:color w:val="auto"/>
                      <w:kern w:val="0"/>
                      <w:szCs w:val="21"/>
                    </w:rPr>
                    <w:t>4</w:t>
                  </w:r>
                </w:p>
              </w:tc>
              <w:tc>
                <w:tcPr>
                  <w:tcW w:w="826" w:type="pct"/>
                  <w:vMerge w:val="continue"/>
                  <w:tcBorders>
                    <w:tl2br w:val="nil"/>
                    <w:tr2bl w:val="nil"/>
                  </w:tcBorders>
                  <w:noWrap/>
                  <w:tcMar>
                    <w:top w:w="15" w:type="dxa"/>
                    <w:left w:w="15" w:type="dxa"/>
                    <w:right w:w="15" w:type="dxa"/>
                  </w:tcMar>
                  <w:vAlign w:val="center"/>
                </w:tcPr>
                <w:p w14:paraId="5DF8BA12">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14AEAC06">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钢化炉机配套冷却设备</w:t>
                  </w:r>
                </w:p>
              </w:tc>
              <w:tc>
                <w:tcPr>
                  <w:tcW w:w="1531" w:type="pct"/>
                  <w:tcBorders>
                    <w:tl2br w:val="nil"/>
                    <w:tr2bl w:val="nil"/>
                  </w:tcBorders>
                  <w:noWrap/>
                  <w:tcMar>
                    <w:top w:w="15" w:type="dxa"/>
                    <w:left w:w="15" w:type="dxa"/>
                    <w:right w:w="15" w:type="dxa"/>
                  </w:tcMar>
                  <w:vAlign w:val="center"/>
                </w:tcPr>
                <w:p w14:paraId="0A92CABC">
                  <w:pPr>
                    <w:widowControl/>
                    <w:adjustRightInd w:val="0"/>
                    <w:snapToGrid w:val="0"/>
                    <w:jc w:val="center"/>
                    <w:textAlignment w:val="center"/>
                    <w:rPr>
                      <w:rFonts w:hint="default" w:eastAsia="宋体"/>
                      <w:color w:val="auto"/>
                      <w:szCs w:val="21"/>
                      <w:lang w:val="en-US" w:eastAsia="zh-CN"/>
                    </w:rPr>
                  </w:pPr>
                  <w:r>
                    <w:rPr>
                      <w:rFonts w:hint="eastAsia"/>
                      <w:color w:val="auto"/>
                      <w:szCs w:val="21"/>
                      <w:lang w:val="en-US" w:eastAsia="zh-CN"/>
                    </w:rPr>
                    <w:t>5028</w:t>
                  </w:r>
                </w:p>
              </w:tc>
              <w:tc>
                <w:tcPr>
                  <w:tcW w:w="603" w:type="pct"/>
                  <w:tcBorders>
                    <w:tl2br w:val="nil"/>
                    <w:tr2bl w:val="nil"/>
                  </w:tcBorders>
                  <w:noWrap/>
                  <w:tcMar>
                    <w:top w:w="15" w:type="dxa"/>
                    <w:left w:w="15" w:type="dxa"/>
                    <w:right w:w="15" w:type="dxa"/>
                  </w:tcMar>
                  <w:vAlign w:val="center"/>
                </w:tcPr>
                <w:p w14:paraId="6893864F">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套</w:t>
                  </w:r>
                </w:p>
              </w:tc>
              <w:tc>
                <w:tcPr>
                  <w:tcW w:w="349" w:type="pct"/>
                  <w:tcBorders>
                    <w:tl2br w:val="nil"/>
                    <w:tr2bl w:val="nil"/>
                  </w:tcBorders>
                  <w:noWrap/>
                  <w:tcMar>
                    <w:top w:w="15" w:type="dxa"/>
                    <w:left w:w="15" w:type="dxa"/>
                    <w:right w:w="15" w:type="dxa"/>
                  </w:tcMar>
                  <w:vAlign w:val="center"/>
                </w:tcPr>
                <w:p w14:paraId="6C737DA3">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1</w:t>
                  </w:r>
                </w:p>
              </w:tc>
            </w:tr>
            <w:tr w14:paraId="755F3B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616281D5">
                  <w:pPr>
                    <w:widowControl/>
                    <w:adjustRightInd w:val="0"/>
                    <w:snapToGrid w:val="0"/>
                    <w:jc w:val="center"/>
                    <w:textAlignment w:val="center"/>
                    <w:rPr>
                      <w:color w:val="auto"/>
                      <w:szCs w:val="21"/>
                    </w:rPr>
                  </w:pPr>
                  <w:r>
                    <w:rPr>
                      <w:color w:val="auto"/>
                      <w:kern w:val="0"/>
                      <w:szCs w:val="21"/>
                    </w:rPr>
                    <w:t>5</w:t>
                  </w:r>
                </w:p>
              </w:tc>
              <w:tc>
                <w:tcPr>
                  <w:tcW w:w="826" w:type="pct"/>
                  <w:vMerge w:val="restart"/>
                  <w:tcBorders>
                    <w:tl2br w:val="nil"/>
                    <w:tr2bl w:val="nil"/>
                  </w:tcBorders>
                  <w:noWrap/>
                  <w:tcMar>
                    <w:top w:w="15" w:type="dxa"/>
                    <w:left w:w="15" w:type="dxa"/>
                    <w:right w:w="15" w:type="dxa"/>
                  </w:tcMar>
                  <w:vAlign w:val="center"/>
                </w:tcPr>
                <w:p w14:paraId="364BA3C6">
                  <w:pPr>
                    <w:widowControl/>
                    <w:adjustRightInd w:val="0"/>
                    <w:snapToGrid w:val="0"/>
                    <w:jc w:val="center"/>
                    <w:textAlignment w:val="center"/>
                    <w:rPr>
                      <w:rFonts w:hint="eastAsia"/>
                      <w:color w:val="auto"/>
                      <w:szCs w:val="21"/>
                      <w:lang w:eastAsia="zh-CN"/>
                    </w:rPr>
                  </w:pPr>
                  <w:r>
                    <w:rPr>
                      <w:rFonts w:hint="eastAsia"/>
                      <w:color w:val="auto"/>
                      <w:szCs w:val="21"/>
                      <w:lang w:eastAsia="zh-CN"/>
                    </w:rPr>
                    <w:t>中空玻璃生产线</w:t>
                  </w:r>
                </w:p>
              </w:tc>
              <w:tc>
                <w:tcPr>
                  <w:tcW w:w="1415" w:type="pct"/>
                  <w:tcBorders>
                    <w:tl2br w:val="nil"/>
                    <w:tr2bl w:val="nil"/>
                  </w:tcBorders>
                  <w:noWrap/>
                  <w:tcMar>
                    <w:top w:w="15" w:type="dxa"/>
                    <w:left w:w="15" w:type="dxa"/>
                    <w:right w:w="15" w:type="dxa"/>
                  </w:tcMar>
                  <w:vAlign w:val="center"/>
                </w:tcPr>
                <w:p w14:paraId="22D37794">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中空线</w:t>
                  </w:r>
                </w:p>
              </w:tc>
              <w:tc>
                <w:tcPr>
                  <w:tcW w:w="1531" w:type="pct"/>
                  <w:tcBorders>
                    <w:tl2br w:val="nil"/>
                    <w:tr2bl w:val="nil"/>
                  </w:tcBorders>
                  <w:noWrap/>
                  <w:tcMar>
                    <w:top w:w="15" w:type="dxa"/>
                    <w:left w:w="15" w:type="dxa"/>
                    <w:right w:w="15" w:type="dxa"/>
                  </w:tcMar>
                  <w:vAlign w:val="center"/>
                </w:tcPr>
                <w:p w14:paraId="30DDD05C">
                  <w:pPr>
                    <w:widowControl/>
                    <w:adjustRightInd w:val="0"/>
                    <w:snapToGrid w:val="0"/>
                    <w:jc w:val="center"/>
                    <w:textAlignment w:val="center"/>
                    <w:rPr>
                      <w:rFonts w:hint="default" w:eastAsia="宋体"/>
                      <w:color w:val="auto"/>
                      <w:szCs w:val="21"/>
                      <w:lang w:val="en-US" w:eastAsia="zh-CN"/>
                    </w:rPr>
                  </w:pPr>
                  <w:r>
                    <w:rPr>
                      <w:rFonts w:hint="eastAsia"/>
                      <w:color w:val="auto"/>
                      <w:szCs w:val="21"/>
                      <w:lang w:val="en-US" w:eastAsia="zh-CN"/>
                    </w:rPr>
                    <w:t>3050</w:t>
                  </w:r>
                </w:p>
              </w:tc>
              <w:tc>
                <w:tcPr>
                  <w:tcW w:w="603" w:type="pct"/>
                  <w:tcBorders>
                    <w:tl2br w:val="nil"/>
                    <w:tr2bl w:val="nil"/>
                  </w:tcBorders>
                  <w:noWrap/>
                  <w:tcMar>
                    <w:top w:w="15" w:type="dxa"/>
                    <w:left w:w="15" w:type="dxa"/>
                    <w:right w:w="15" w:type="dxa"/>
                  </w:tcMar>
                  <w:vAlign w:val="center"/>
                </w:tcPr>
                <w:p w14:paraId="684338B5">
                  <w:pPr>
                    <w:widowControl/>
                    <w:adjustRightInd w:val="0"/>
                    <w:snapToGrid w:val="0"/>
                    <w:jc w:val="center"/>
                    <w:textAlignment w:val="center"/>
                    <w:rPr>
                      <w:rFonts w:hint="eastAsia" w:eastAsia="宋体"/>
                      <w:color w:val="auto"/>
                      <w:szCs w:val="21"/>
                      <w:lang w:eastAsia="zh-CN"/>
                    </w:rPr>
                  </w:pPr>
                  <w:r>
                    <w:rPr>
                      <w:rFonts w:hint="eastAsia"/>
                      <w:color w:val="auto"/>
                      <w:szCs w:val="21"/>
                      <w:lang w:eastAsia="zh-CN"/>
                    </w:rPr>
                    <w:t>套</w:t>
                  </w:r>
                </w:p>
              </w:tc>
              <w:tc>
                <w:tcPr>
                  <w:tcW w:w="349" w:type="pct"/>
                  <w:tcBorders>
                    <w:tl2br w:val="nil"/>
                    <w:tr2bl w:val="nil"/>
                  </w:tcBorders>
                  <w:noWrap/>
                  <w:tcMar>
                    <w:top w:w="15" w:type="dxa"/>
                    <w:left w:w="15" w:type="dxa"/>
                    <w:right w:w="15" w:type="dxa"/>
                  </w:tcMar>
                  <w:vAlign w:val="center"/>
                </w:tcPr>
                <w:p w14:paraId="5E2A9FF6">
                  <w:pPr>
                    <w:widowControl/>
                    <w:adjustRightInd w:val="0"/>
                    <w:snapToGrid w:val="0"/>
                    <w:jc w:val="center"/>
                    <w:textAlignment w:val="center"/>
                    <w:rPr>
                      <w:rFonts w:hint="eastAsia" w:eastAsia="宋体"/>
                      <w:color w:val="auto"/>
                      <w:szCs w:val="21"/>
                      <w:lang w:val="en-US" w:eastAsia="zh-CN"/>
                    </w:rPr>
                  </w:pPr>
                  <w:r>
                    <w:rPr>
                      <w:rFonts w:hint="eastAsia"/>
                      <w:color w:val="auto"/>
                      <w:szCs w:val="21"/>
                      <w:lang w:val="en-US" w:eastAsia="zh-CN"/>
                    </w:rPr>
                    <w:t>1</w:t>
                  </w:r>
                </w:p>
              </w:tc>
            </w:tr>
            <w:tr w14:paraId="3D5A63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663C00F5">
                  <w:pPr>
                    <w:widowControl/>
                    <w:adjustRightInd w:val="0"/>
                    <w:snapToGrid w:val="0"/>
                    <w:jc w:val="center"/>
                    <w:textAlignment w:val="center"/>
                    <w:rPr>
                      <w:rFonts w:hint="eastAsia" w:eastAsia="宋体"/>
                      <w:color w:val="auto"/>
                      <w:kern w:val="0"/>
                      <w:szCs w:val="21"/>
                      <w:lang w:val="en-US" w:eastAsia="zh-CN"/>
                    </w:rPr>
                  </w:pPr>
                  <w:r>
                    <w:rPr>
                      <w:rFonts w:hint="eastAsia"/>
                      <w:color w:val="auto"/>
                      <w:kern w:val="0"/>
                      <w:szCs w:val="21"/>
                      <w:lang w:val="en-US" w:eastAsia="zh-CN"/>
                    </w:rPr>
                    <w:t>6</w:t>
                  </w:r>
                </w:p>
              </w:tc>
              <w:tc>
                <w:tcPr>
                  <w:tcW w:w="826" w:type="pct"/>
                  <w:vMerge w:val="continue"/>
                  <w:tcBorders>
                    <w:tl2br w:val="nil"/>
                    <w:tr2bl w:val="nil"/>
                  </w:tcBorders>
                  <w:noWrap/>
                  <w:tcMar>
                    <w:top w:w="15" w:type="dxa"/>
                    <w:left w:w="15" w:type="dxa"/>
                    <w:right w:w="15" w:type="dxa"/>
                  </w:tcMar>
                  <w:vAlign w:val="center"/>
                </w:tcPr>
                <w:p w14:paraId="45E5CBD5">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21D8C483">
                  <w:pPr>
                    <w:widowControl/>
                    <w:adjustRightInd w:val="0"/>
                    <w:snapToGrid w:val="0"/>
                    <w:jc w:val="center"/>
                    <w:textAlignment w:val="center"/>
                    <w:rPr>
                      <w:rFonts w:hint="eastAsia"/>
                      <w:color w:val="auto"/>
                      <w:szCs w:val="21"/>
                      <w:lang w:eastAsia="zh-CN"/>
                    </w:rPr>
                  </w:pPr>
                  <w:r>
                    <w:rPr>
                      <w:rFonts w:hint="eastAsia"/>
                      <w:color w:val="auto"/>
                      <w:szCs w:val="21"/>
                      <w:lang w:eastAsia="zh-CN"/>
                    </w:rPr>
                    <w:t>涂胶机</w:t>
                  </w:r>
                </w:p>
              </w:tc>
              <w:tc>
                <w:tcPr>
                  <w:tcW w:w="1531" w:type="pct"/>
                  <w:tcBorders>
                    <w:tl2br w:val="nil"/>
                    <w:tr2bl w:val="nil"/>
                  </w:tcBorders>
                  <w:noWrap/>
                  <w:tcMar>
                    <w:top w:w="15" w:type="dxa"/>
                    <w:left w:w="15" w:type="dxa"/>
                    <w:right w:w="15" w:type="dxa"/>
                  </w:tcMar>
                  <w:vAlign w:val="center"/>
                </w:tcPr>
                <w:p w14:paraId="219301BA">
                  <w:pPr>
                    <w:widowControl/>
                    <w:adjustRightInd w:val="0"/>
                    <w:snapToGrid w:val="0"/>
                    <w:jc w:val="center"/>
                    <w:textAlignment w:val="center"/>
                    <w:rPr>
                      <w:rFonts w:hint="eastAsia"/>
                      <w:color w:val="auto"/>
                      <w:szCs w:val="21"/>
                      <w:lang w:val="en-US" w:eastAsia="zh-CN"/>
                    </w:rPr>
                  </w:pPr>
                  <w:r>
                    <w:rPr>
                      <w:rFonts w:hint="eastAsia"/>
                      <w:color w:val="auto"/>
                      <w:szCs w:val="21"/>
                      <w:lang w:eastAsia="zh-CN"/>
                    </w:rPr>
                    <w:t>YH-DJJ-02</w:t>
                  </w:r>
                </w:p>
              </w:tc>
              <w:tc>
                <w:tcPr>
                  <w:tcW w:w="603" w:type="pct"/>
                  <w:tcBorders>
                    <w:tl2br w:val="nil"/>
                    <w:tr2bl w:val="nil"/>
                  </w:tcBorders>
                  <w:noWrap/>
                  <w:tcMar>
                    <w:top w:w="15" w:type="dxa"/>
                    <w:left w:w="15" w:type="dxa"/>
                    <w:right w:w="15" w:type="dxa"/>
                  </w:tcMar>
                  <w:vAlign w:val="center"/>
                </w:tcPr>
                <w:p w14:paraId="530C6D1E">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5C8C3CE4">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w:t>
                  </w:r>
                </w:p>
              </w:tc>
            </w:tr>
            <w:tr w14:paraId="49C71A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0DB1FACC">
                  <w:pPr>
                    <w:widowControl/>
                    <w:adjustRightInd w:val="0"/>
                    <w:snapToGrid w:val="0"/>
                    <w:jc w:val="center"/>
                    <w:textAlignment w:val="center"/>
                    <w:rPr>
                      <w:rFonts w:hint="eastAsia" w:eastAsia="宋体"/>
                      <w:color w:val="auto"/>
                      <w:kern w:val="0"/>
                      <w:szCs w:val="21"/>
                      <w:lang w:val="en-US" w:eastAsia="zh-CN"/>
                    </w:rPr>
                  </w:pPr>
                  <w:r>
                    <w:rPr>
                      <w:rFonts w:hint="eastAsia"/>
                      <w:color w:val="auto"/>
                      <w:kern w:val="0"/>
                      <w:szCs w:val="21"/>
                      <w:lang w:val="en-US" w:eastAsia="zh-CN"/>
                    </w:rPr>
                    <w:t>7</w:t>
                  </w:r>
                </w:p>
              </w:tc>
              <w:tc>
                <w:tcPr>
                  <w:tcW w:w="826" w:type="pct"/>
                  <w:vMerge w:val="continue"/>
                  <w:tcBorders>
                    <w:tl2br w:val="nil"/>
                    <w:tr2bl w:val="nil"/>
                  </w:tcBorders>
                  <w:noWrap/>
                  <w:tcMar>
                    <w:top w:w="15" w:type="dxa"/>
                    <w:left w:w="15" w:type="dxa"/>
                    <w:right w:w="15" w:type="dxa"/>
                  </w:tcMar>
                  <w:vAlign w:val="center"/>
                </w:tcPr>
                <w:p w14:paraId="46CB5EDE">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5AB14417">
                  <w:pPr>
                    <w:widowControl/>
                    <w:adjustRightInd w:val="0"/>
                    <w:snapToGrid w:val="0"/>
                    <w:jc w:val="center"/>
                    <w:textAlignment w:val="center"/>
                    <w:rPr>
                      <w:rFonts w:hint="eastAsia"/>
                      <w:color w:val="auto"/>
                      <w:szCs w:val="21"/>
                      <w:lang w:eastAsia="zh-CN"/>
                    </w:rPr>
                  </w:pPr>
                  <w:r>
                    <w:rPr>
                      <w:rFonts w:hint="eastAsia"/>
                      <w:color w:val="auto"/>
                      <w:szCs w:val="21"/>
                      <w:lang w:eastAsia="zh-CN"/>
                    </w:rPr>
                    <w:t>分子筛灌装机</w:t>
                  </w:r>
                </w:p>
              </w:tc>
              <w:tc>
                <w:tcPr>
                  <w:tcW w:w="1531" w:type="pct"/>
                  <w:tcBorders>
                    <w:tl2br w:val="nil"/>
                    <w:tr2bl w:val="nil"/>
                  </w:tcBorders>
                  <w:noWrap/>
                  <w:tcMar>
                    <w:top w:w="15" w:type="dxa"/>
                    <w:left w:w="15" w:type="dxa"/>
                    <w:right w:w="15" w:type="dxa"/>
                  </w:tcMar>
                  <w:vAlign w:val="center"/>
                </w:tcPr>
                <w:p w14:paraId="1D697E74">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DF-G</w:t>
                  </w:r>
                </w:p>
              </w:tc>
              <w:tc>
                <w:tcPr>
                  <w:tcW w:w="603" w:type="pct"/>
                  <w:tcBorders>
                    <w:tl2br w:val="nil"/>
                    <w:tr2bl w:val="nil"/>
                  </w:tcBorders>
                  <w:noWrap/>
                  <w:tcMar>
                    <w:top w:w="15" w:type="dxa"/>
                    <w:left w:w="15" w:type="dxa"/>
                    <w:right w:w="15" w:type="dxa"/>
                  </w:tcMar>
                  <w:vAlign w:val="center"/>
                </w:tcPr>
                <w:p w14:paraId="088F6DB5">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1BDC64A8">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w:t>
                  </w:r>
                </w:p>
              </w:tc>
            </w:tr>
            <w:tr w14:paraId="372693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0E9D9AFF">
                  <w:pPr>
                    <w:widowControl/>
                    <w:adjustRightInd w:val="0"/>
                    <w:snapToGrid w:val="0"/>
                    <w:jc w:val="center"/>
                    <w:textAlignment w:val="center"/>
                    <w:rPr>
                      <w:rFonts w:hint="eastAsia" w:eastAsia="宋体"/>
                      <w:color w:val="auto"/>
                      <w:kern w:val="0"/>
                      <w:szCs w:val="21"/>
                      <w:lang w:val="en-US" w:eastAsia="zh-CN"/>
                    </w:rPr>
                  </w:pPr>
                  <w:r>
                    <w:rPr>
                      <w:rFonts w:hint="eastAsia"/>
                      <w:color w:val="auto"/>
                      <w:kern w:val="0"/>
                      <w:szCs w:val="21"/>
                      <w:lang w:val="en-US" w:eastAsia="zh-CN"/>
                    </w:rPr>
                    <w:t>8</w:t>
                  </w:r>
                </w:p>
              </w:tc>
              <w:tc>
                <w:tcPr>
                  <w:tcW w:w="826" w:type="pct"/>
                  <w:vMerge w:val="continue"/>
                  <w:tcBorders>
                    <w:tl2br w:val="nil"/>
                    <w:tr2bl w:val="nil"/>
                  </w:tcBorders>
                  <w:noWrap/>
                  <w:tcMar>
                    <w:top w:w="15" w:type="dxa"/>
                    <w:left w:w="15" w:type="dxa"/>
                    <w:right w:w="15" w:type="dxa"/>
                  </w:tcMar>
                  <w:vAlign w:val="center"/>
                </w:tcPr>
                <w:p w14:paraId="3FC751C6">
                  <w:pPr>
                    <w:widowControl/>
                    <w:adjustRightInd w:val="0"/>
                    <w:snapToGrid w:val="0"/>
                    <w:jc w:val="center"/>
                    <w:textAlignment w:val="center"/>
                    <w:rPr>
                      <w:rFonts w:hint="eastAsia"/>
                      <w:color w:val="auto"/>
                      <w:szCs w:val="21"/>
                      <w:lang w:eastAsia="zh-CN"/>
                    </w:rPr>
                  </w:pPr>
                </w:p>
              </w:tc>
              <w:tc>
                <w:tcPr>
                  <w:tcW w:w="1415" w:type="pct"/>
                  <w:tcBorders>
                    <w:tl2br w:val="nil"/>
                    <w:tr2bl w:val="nil"/>
                  </w:tcBorders>
                  <w:noWrap/>
                  <w:tcMar>
                    <w:top w:w="15" w:type="dxa"/>
                    <w:left w:w="15" w:type="dxa"/>
                    <w:right w:w="15" w:type="dxa"/>
                  </w:tcMar>
                  <w:vAlign w:val="center"/>
                </w:tcPr>
                <w:p w14:paraId="19F67E5C">
                  <w:pPr>
                    <w:widowControl/>
                    <w:adjustRightInd w:val="0"/>
                    <w:snapToGrid w:val="0"/>
                    <w:jc w:val="center"/>
                    <w:textAlignment w:val="center"/>
                    <w:rPr>
                      <w:rFonts w:hint="eastAsia"/>
                      <w:color w:val="auto"/>
                      <w:szCs w:val="21"/>
                      <w:lang w:eastAsia="zh-CN"/>
                    </w:rPr>
                  </w:pPr>
                  <w:r>
                    <w:rPr>
                      <w:rFonts w:hint="eastAsia"/>
                      <w:color w:val="auto"/>
                      <w:szCs w:val="21"/>
                      <w:lang w:eastAsia="zh-CN"/>
                    </w:rPr>
                    <w:t>封胶机</w:t>
                  </w:r>
                </w:p>
              </w:tc>
              <w:tc>
                <w:tcPr>
                  <w:tcW w:w="1531" w:type="pct"/>
                  <w:tcBorders>
                    <w:tl2br w:val="nil"/>
                    <w:tr2bl w:val="nil"/>
                  </w:tcBorders>
                  <w:noWrap/>
                  <w:tcMar>
                    <w:top w:w="15" w:type="dxa"/>
                    <w:left w:w="15" w:type="dxa"/>
                    <w:right w:w="15" w:type="dxa"/>
                  </w:tcMar>
                  <w:vAlign w:val="center"/>
                </w:tcPr>
                <w:p w14:paraId="03311D56">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2850</w:t>
                  </w:r>
                </w:p>
              </w:tc>
              <w:tc>
                <w:tcPr>
                  <w:tcW w:w="603" w:type="pct"/>
                  <w:tcBorders>
                    <w:tl2br w:val="nil"/>
                    <w:tr2bl w:val="nil"/>
                  </w:tcBorders>
                  <w:noWrap/>
                  <w:tcMar>
                    <w:top w:w="15" w:type="dxa"/>
                    <w:left w:w="15" w:type="dxa"/>
                    <w:right w:w="15" w:type="dxa"/>
                  </w:tcMar>
                  <w:vAlign w:val="center"/>
                </w:tcPr>
                <w:p w14:paraId="6CC6E349">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4DEE09CD">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1</w:t>
                  </w:r>
                </w:p>
              </w:tc>
            </w:tr>
            <w:tr w14:paraId="1EBC96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3C3FD9B6">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9</w:t>
                  </w:r>
                </w:p>
              </w:tc>
              <w:tc>
                <w:tcPr>
                  <w:tcW w:w="826" w:type="pct"/>
                  <w:vMerge w:val="continue"/>
                  <w:tcBorders>
                    <w:tl2br w:val="nil"/>
                    <w:tr2bl w:val="nil"/>
                  </w:tcBorders>
                  <w:noWrap/>
                  <w:tcMar>
                    <w:top w:w="15" w:type="dxa"/>
                    <w:left w:w="15" w:type="dxa"/>
                    <w:right w:w="15" w:type="dxa"/>
                  </w:tcMar>
                  <w:vAlign w:val="center"/>
                </w:tcPr>
                <w:p w14:paraId="4B57D004">
                  <w:pPr>
                    <w:widowControl/>
                    <w:adjustRightInd w:val="0"/>
                    <w:snapToGrid w:val="0"/>
                    <w:jc w:val="center"/>
                    <w:textAlignment w:val="center"/>
                    <w:rPr>
                      <w:rFonts w:hint="eastAsia"/>
                      <w:color w:val="auto"/>
                      <w:szCs w:val="21"/>
                      <w:lang w:val="en-US" w:eastAsia="zh-CN"/>
                    </w:rPr>
                  </w:pPr>
                </w:p>
              </w:tc>
              <w:tc>
                <w:tcPr>
                  <w:tcW w:w="1415" w:type="pct"/>
                  <w:tcBorders>
                    <w:tl2br w:val="nil"/>
                    <w:tr2bl w:val="nil"/>
                  </w:tcBorders>
                  <w:noWrap/>
                  <w:tcMar>
                    <w:top w:w="15" w:type="dxa"/>
                    <w:left w:w="15" w:type="dxa"/>
                    <w:right w:w="15" w:type="dxa"/>
                  </w:tcMar>
                  <w:vAlign w:val="center"/>
                </w:tcPr>
                <w:p w14:paraId="13257778">
                  <w:pPr>
                    <w:widowControl/>
                    <w:adjustRightInd w:val="0"/>
                    <w:snapToGrid w:val="0"/>
                    <w:jc w:val="center"/>
                    <w:textAlignment w:val="center"/>
                    <w:rPr>
                      <w:rFonts w:hint="eastAsia"/>
                      <w:color w:val="auto"/>
                      <w:szCs w:val="21"/>
                      <w:lang w:eastAsia="zh-CN"/>
                    </w:rPr>
                  </w:pPr>
                  <w:r>
                    <w:rPr>
                      <w:rFonts w:hint="eastAsia"/>
                      <w:color w:val="auto"/>
                      <w:szCs w:val="21"/>
                      <w:lang w:val="en-US" w:eastAsia="zh-CN"/>
                    </w:rPr>
                    <w:t>铝条折弯机</w:t>
                  </w:r>
                </w:p>
              </w:tc>
              <w:tc>
                <w:tcPr>
                  <w:tcW w:w="1531" w:type="pct"/>
                  <w:tcBorders>
                    <w:tl2br w:val="nil"/>
                    <w:tr2bl w:val="nil"/>
                  </w:tcBorders>
                  <w:noWrap/>
                  <w:tcMar>
                    <w:top w:w="15" w:type="dxa"/>
                    <w:left w:w="15" w:type="dxa"/>
                    <w:right w:w="15" w:type="dxa"/>
                  </w:tcMar>
                  <w:vAlign w:val="center"/>
                </w:tcPr>
                <w:p w14:paraId="3B4965AF">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FB-G</w:t>
                  </w:r>
                </w:p>
              </w:tc>
              <w:tc>
                <w:tcPr>
                  <w:tcW w:w="603" w:type="pct"/>
                  <w:tcBorders>
                    <w:tl2br w:val="nil"/>
                    <w:tr2bl w:val="nil"/>
                  </w:tcBorders>
                  <w:noWrap/>
                  <w:tcMar>
                    <w:top w:w="15" w:type="dxa"/>
                    <w:left w:w="15" w:type="dxa"/>
                    <w:right w:w="15" w:type="dxa"/>
                  </w:tcMar>
                  <w:vAlign w:val="center"/>
                </w:tcPr>
                <w:p w14:paraId="383E34BA">
                  <w:pPr>
                    <w:widowControl/>
                    <w:adjustRightInd w:val="0"/>
                    <w:snapToGrid w:val="0"/>
                    <w:jc w:val="center"/>
                    <w:textAlignment w:val="center"/>
                    <w:rPr>
                      <w:rFonts w:hint="eastAsia"/>
                      <w:color w:val="auto"/>
                      <w:szCs w:val="21"/>
                      <w:lang w:eastAsia="zh-CN"/>
                    </w:rPr>
                  </w:pPr>
                  <w:r>
                    <w:rPr>
                      <w:rFonts w:hint="eastAsia"/>
                      <w:color w:val="auto"/>
                      <w:szCs w:val="21"/>
                      <w:lang w:eastAsia="zh-CN"/>
                    </w:rPr>
                    <w:t>台</w:t>
                  </w:r>
                </w:p>
              </w:tc>
              <w:tc>
                <w:tcPr>
                  <w:tcW w:w="349" w:type="pct"/>
                  <w:tcBorders>
                    <w:tl2br w:val="nil"/>
                    <w:tr2bl w:val="nil"/>
                  </w:tcBorders>
                  <w:noWrap/>
                  <w:tcMar>
                    <w:top w:w="15" w:type="dxa"/>
                    <w:left w:w="15" w:type="dxa"/>
                    <w:right w:w="15" w:type="dxa"/>
                  </w:tcMar>
                  <w:vAlign w:val="center"/>
                </w:tcPr>
                <w:p w14:paraId="3082A0B0">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1</w:t>
                  </w:r>
                </w:p>
              </w:tc>
            </w:tr>
            <w:tr w14:paraId="163A34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30F46917">
                  <w:pPr>
                    <w:widowControl/>
                    <w:adjustRightInd w:val="0"/>
                    <w:snapToGrid w:val="0"/>
                    <w:jc w:val="center"/>
                    <w:textAlignment w:val="center"/>
                    <w:rPr>
                      <w:rFonts w:hint="eastAsia"/>
                      <w:color w:val="auto"/>
                      <w:szCs w:val="21"/>
                      <w:lang w:val="en-US" w:eastAsia="zh-CN"/>
                    </w:rPr>
                  </w:pPr>
                </w:p>
              </w:tc>
              <w:tc>
                <w:tcPr>
                  <w:tcW w:w="826" w:type="pct"/>
                  <w:vMerge w:val="continue"/>
                  <w:tcBorders>
                    <w:tl2br w:val="nil"/>
                    <w:tr2bl w:val="nil"/>
                  </w:tcBorders>
                  <w:noWrap/>
                  <w:tcMar>
                    <w:top w:w="15" w:type="dxa"/>
                    <w:left w:w="15" w:type="dxa"/>
                    <w:right w:w="15" w:type="dxa"/>
                  </w:tcMar>
                  <w:vAlign w:val="center"/>
                </w:tcPr>
                <w:p w14:paraId="33073927">
                  <w:pPr>
                    <w:widowControl/>
                    <w:adjustRightInd w:val="0"/>
                    <w:snapToGrid w:val="0"/>
                    <w:jc w:val="center"/>
                    <w:textAlignment w:val="center"/>
                    <w:rPr>
                      <w:rFonts w:hint="eastAsia"/>
                      <w:color w:val="auto"/>
                      <w:szCs w:val="21"/>
                      <w:lang w:val="en-US" w:eastAsia="zh-CN"/>
                    </w:rPr>
                  </w:pPr>
                </w:p>
              </w:tc>
              <w:tc>
                <w:tcPr>
                  <w:tcW w:w="1415" w:type="pct"/>
                  <w:tcBorders>
                    <w:tl2br w:val="nil"/>
                    <w:tr2bl w:val="nil"/>
                  </w:tcBorders>
                  <w:noWrap/>
                  <w:tcMar>
                    <w:top w:w="15" w:type="dxa"/>
                    <w:left w:w="15" w:type="dxa"/>
                    <w:right w:w="15" w:type="dxa"/>
                  </w:tcMar>
                  <w:vAlign w:val="center"/>
                </w:tcPr>
                <w:p w14:paraId="2791C127">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叉车</w:t>
                  </w:r>
                </w:p>
              </w:tc>
              <w:tc>
                <w:tcPr>
                  <w:tcW w:w="1531" w:type="pct"/>
                  <w:tcBorders>
                    <w:tl2br w:val="nil"/>
                    <w:tr2bl w:val="nil"/>
                  </w:tcBorders>
                  <w:noWrap/>
                  <w:tcMar>
                    <w:top w:w="15" w:type="dxa"/>
                    <w:left w:w="15" w:type="dxa"/>
                    <w:right w:w="15" w:type="dxa"/>
                  </w:tcMar>
                  <w:vAlign w:val="center"/>
                </w:tcPr>
                <w:p w14:paraId="75FFF848">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w:t>
                  </w:r>
                </w:p>
              </w:tc>
              <w:tc>
                <w:tcPr>
                  <w:tcW w:w="603" w:type="pct"/>
                  <w:tcBorders>
                    <w:tl2br w:val="nil"/>
                    <w:tr2bl w:val="nil"/>
                  </w:tcBorders>
                  <w:noWrap/>
                  <w:tcMar>
                    <w:top w:w="15" w:type="dxa"/>
                    <w:left w:w="15" w:type="dxa"/>
                    <w:right w:w="15" w:type="dxa"/>
                  </w:tcMar>
                  <w:vAlign w:val="center"/>
                </w:tcPr>
                <w:p w14:paraId="229ECC19">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台</w:t>
                  </w:r>
                </w:p>
              </w:tc>
              <w:tc>
                <w:tcPr>
                  <w:tcW w:w="349" w:type="pct"/>
                  <w:tcBorders>
                    <w:tl2br w:val="nil"/>
                    <w:tr2bl w:val="nil"/>
                  </w:tcBorders>
                  <w:noWrap/>
                  <w:tcMar>
                    <w:top w:w="15" w:type="dxa"/>
                    <w:left w:w="15" w:type="dxa"/>
                    <w:right w:w="15" w:type="dxa"/>
                  </w:tcMar>
                  <w:vAlign w:val="center"/>
                </w:tcPr>
                <w:p w14:paraId="37458063">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3</w:t>
                  </w:r>
                </w:p>
              </w:tc>
            </w:tr>
            <w:tr w14:paraId="03F31E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7116D815">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10</w:t>
                  </w:r>
                </w:p>
              </w:tc>
              <w:tc>
                <w:tcPr>
                  <w:tcW w:w="826" w:type="pct"/>
                  <w:tcBorders>
                    <w:tl2br w:val="nil"/>
                    <w:tr2bl w:val="nil"/>
                  </w:tcBorders>
                  <w:noWrap/>
                  <w:tcMar>
                    <w:top w:w="15" w:type="dxa"/>
                    <w:left w:w="15" w:type="dxa"/>
                    <w:right w:w="15" w:type="dxa"/>
                  </w:tcMar>
                  <w:vAlign w:val="center"/>
                </w:tcPr>
                <w:p w14:paraId="254EE864">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w:t>
                  </w:r>
                </w:p>
              </w:tc>
              <w:tc>
                <w:tcPr>
                  <w:tcW w:w="1415" w:type="pct"/>
                  <w:tcBorders>
                    <w:tl2br w:val="nil"/>
                    <w:tr2bl w:val="nil"/>
                  </w:tcBorders>
                  <w:noWrap/>
                  <w:tcMar>
                    <w:top w:w="15" w:type="dxa"/>
                    <w:left w:w="15" w:type="dxa"/>
                    <w:right w:w="15" w:type="dxa"/>
                  </w:tcMar>
                  <w:vAlign w:val="center"/>
                </w:tcPr>
                <w:p w14:paraId="0EBAE3F3">
                  <w:pPr>
                    <w:widowControl/>
                    <w:adjustRightInd w:val="0"/>
                    <w:snapToGrid w:val="0"/>
                    <w:jc w:val="center"/>
                    <w:textAlignment w:val="center"/>
                    <w:rPr>
                      <w:rFonts w:hint="eastAsia"/>
                      <w:color w:val="auto"/>
                      <w:szCs w:val="21"/>
                      <w:lang w:eastAsia="zh-CN"/>
                    </w:rPr>
                  </w:pPr>
                  <w:r>
                    <w:rPr>
                      <w:rFonts w:hint="eastAsia"/>
                      <w:color w:val="auto"/>
                      <w:szCs w:val="21"/>
                      <w:lang w:eastAsia="zh-CN"/>
                    </w:rPr>
                    <w:t>生产废水自动净化处理设备</w:t>
                  </w:r>
                </w:p>
              </w:tc>
              <w:tc>
                <w:tcPr>
                  <w:tcW w:w="1531" w:type="pct"/>
                  <w:tcBorders>
                    <w:tl2br w:val="nil"/>
                    <w:tr2bl w:val="nil"/>
                  </w:tcBorders>
                  <w:noWrap/>
                  <w:tcMar>
                    <w:top w:w="15" w:type="dxa"/>
                    <w:left w:w="15" w:type="dxa"/>
                    <w:right w:w="15" w:type="dxa"/>
                  </w:tcMar>
                  <w:vAlign w:val="center"/>
                </w:tcPr>
                <w:p w14:paraId="267F14DF">
                  <w:pPr>
                    <w:widowControl/>
                    <w:adjustRightInd w:val="0"/>
                    <w:snapToGrid w:val="0"/>
                    <w:jc w:val="center"/>
                    <w:textAlignment w:val="center"/>
                    <w:rPr>
                      <w:rFonts w:hint="eastAsia"/>
                      <w:color w:val="auto"/>
                      <w:szCs w:val="21"/>
                      <w:lang w:eastAsia="zh-CN"/>
                    </w:rPr>
                  </w:pPr>
                  <w:r>
                    <w:rPr>
                      <w:rFonts w:hint="eastAsia"/>
                      <w:color w:val="auto"/>
                      <w:szCs w:val="21"/>
                      <w:lang w:eastAsia="zh-CN"/>
                    </w:rPr>
                    <w:t>生产废水处理能力75m³/h</w:t>
                  </w:r>
                </w:p>
              </w:tc>
              <w:tc>
                <w:tcPr>
                  <w:tcW w:w="603" w:type="pct"/>
                  <w:tcBorders>
                    <w:tl2br w:val="nil"/>
                    <w:tr2bl w:val="nil"/>
                  </w:tcBorders>
                  <w:noWrap/>
                  <w:tcMar>
                    <w:top w:w="15" w:type="dxa"/>
                    <w:left w:w="15" w:type="dxa"/>
                    <w:right w:w="15" w:type="dxa"/>
                  </w:tcMar>
                  <w:vAlign w:val="center"/>
                </w:tcPr>
                <w:p w14:paraId="081E0733">
                  <w:pPr>
                    <w:widowControl/>
                    <w:adjustRightInd w:val="0"/>
                    <w:snapToGrid w:val="0"/>
                    <w:jc w:val="center"/>
                    <w:textAlignment w:val="center"/>
                    <w:rPr>
                      <w:rFonts w:hint="eastAsia"/>
                      <w:color w:val="auto"/>
                      <w:szCs w:val="21"/>
                      <w:lang w:eastAsia="zh-CN"/>
                    </w:rPr>
                  </w:pPr>
                  <w:r>
                    <w:rPr>
                      <w:rFonts w:hint="eastAsia"/>
                      <w:color w:val="auto"/>
                      <w:szCs w:val="21"/>
                      <w:lang w:eastAsia="zh-CN"/>
                    </w:rPr>
                    <w:t>套</w:t>
                  </w:r>
                </w:p>
              </w:tc>
              <w:tc>
                <w:tcPr>
                  <w:tcW w:w="349" w:type="pct"/>
                  <w:tcBorders>
                    <w:tl2br w:val="nil"/>
                    <w:tr2bl w:val="nil"/>
                  </w:tcBorders>
                  <w:noWrap/>
                  <w:tcMar>
                    <w:top w:w="15" w:type="dxa"/>
                    <w:left w:w="15" w:type="dxa"/>
                    <w:right w:w="15" w:type="dxa"/>
                  </w:tcMar>
                  <w:vAlign w:val="center"/>
                </w:tcPr>
                <w:p w14:paraId="286D2080">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1</w:t>
                  </w:r>
                </w:p>
              </w:tc>
            </w:tr>
            <w:tr w14:paraId="2EFF67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03F34D90">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11</w:t>
                  </w:r>
                </w:p>
              </w:tc>
              <w:tc>
                <w:tcPr>
                  <w:tcW w:w="826" w:type="pct"/>
                  <w:tcBorders>
                    <w:tl2br w:val="nil"/>
                    <w:tr2bl w:val="nil"/>
                  </w:tcBorders>
                  <w:noWrap/>
                  <w:tcMar>
                    <w:top w:w="15" w:type="dxa"/>
                    <w:left w:w="15" w:type="dxa"/>
                    <w:right w:w="15" w:type="dxa"/>
                  </w:tcMar>
                  <w:vAlign w:val="center"/>
                </w:tcPr>
                <w:p w14:paraId="21FA812F">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w:t>
                  </w:r>
                </w:p>
              </w:tc>
              <w:tc>
                <w:tcPr>
                  <w:tcW w:w="1415" w:type="pct"/>
                  <w:tcBorders>
                    <w:tl2br w:val="nil"/>
                    <w:tr2bl w:val="nil"/>
                  </w:tcBorders>
                  <w:noWrap/>
                  <w:tcMar>
                    <w:top w:w="15" w:type="dxa"/>
                    <w:left w:w="15" w:type="dxa"/>
                    <w:right w:w="15" w:type="dxa"/>
                  </w:tcMar>
                  <w:vAlign w:val="center"/>
                </w:tcPr>
                <w:p w14:paraId="3B618CA4">
                  <w:pPr>
                    <w:widowControl/>
                    <w:adjustRightInd w:val="0"/>
                    <w:snapToGrid w:val="0"/>
                    <w:jc w:val="center"/>
                    <w:textAlignment w:val="center"/>
                    <w:rPr>
                      <w:rFonts w:hint="eastAsia"/>
                      <w:color w:val="auto"/>
                      <w:szCs w:val="21"/>
                      <w:lang w:eastAsia="zh-CN"/>
                    </w:rPr>
                  </w:pPr>
                  <w:r>
                    <w:rPr>
                      <w:rFonts w:hint="eastAsia"/>
                      <w:color w:val="auto"/>
                      <w:szCs w:val="21"/>
                      <w:lang w:eastAsia="zh-CN"/>
                    </w:rPr>
                    <w:t>二级活性炭吸附装置</w:t>
                  </w:r>
                </w:p>
              </w:tc>
              <w:tc>
                <w:tcPr>
                  <w:tcW w:w="1531" w:type="pct"/>
                  <w:tcBorders>
                    <w:tl2br w:val="nil"/>
                    <w:tr2bl w:val="nil"/>
                  </w:tcBorders>
                  <w:noWrap/>
                  <w:tcMar>
                    <w:top w:w="15" w:type="dxa"/>
                    <w:left w:w="15" w:type="dxa"/>
                    <w:right w:w="15" w:type="dxa"/>
                  </w:tcMar>
                  <w:vAlign w:val="center"/>
                </w:tcPr>
                <w:p w14:paraId="789E5BC2">
                  <w:pPr>
                    <w:widowControl/>
                    <w:adjustRightInd w:val="0"/>
                    <w:snapToGrid w:val="0"/>
                    <w:jc w:val="center"/>
                    <w:textAlignment w:val="center"/>
                    <w:rPr>
                      <w:rFonts w:hint="default"/>
                      <w:color w:val="auto"/>
                      <w:szCs w:val="21"/>
                      <w:lang w:val="en-US" w:eastAsia="zh-CN"/>
                    </w:rPr>
                  </w:pPr>
                  <w:r>
                    <w:rPr>
                      <w:rFonts w:hint="default"/>
                      <w:color w:val="auto"/>
                      <w:szCs w:val="21"/>
                      <w:lang w:val="en-US" w:eastAsia="zh-CN"/>
                    </w:rPr>
                    <w:t>设计风量</w:t>
                  </w:r>
                  <w:r>
                    <w:rPr>
                      <w:rFonts w:hint="eastAsia"/>
                      <w:color w:val="auto"/>
                      <w:szCs w:val="21"/>
                      <w:lang w:val="en-US" w:eastAsia="zh-CN"/>
                    </w:rPr>
                    <w:t>10</w:t>
                  </w:r>
                  <w:r>
                    <w:rPr>
                      <w:rFonts w:hint="default"/>
                      <w:color w:val="auto"/>
                      <w:szCs w:val="21"/>
                      <w:lang w:val="en-US" w:eastAsia="zh-CN"/>
                    </w:rPr>
                    <w:t>000m</w:t>
                  </w:r>
                  <w:r>
                    <w:rPr>
                      <w:rFonts w:hint="default"/>
                      <w:color w:val="auto"/>
                      <w:szCs w:val="21"/>
                      <w:vertAlign w:val="superscript"/>
                      <w:lang w:val="en-US" w:eastAsia="zh-CN"/>
                    </w:rPr>
                    <w:t>3</w:t>
                  </w:r>
                  <w:r>
                    <w:rPr>
                      <w:rFonts w:hint="default"/>
                      <w:color w:val="auto"/>
                      <w:szCs w:val="21"/>
                      <w:lang w:val="en-US" w:eastAsia="zh-CN"/>
                    </w:rPr>
                    <w:t>/h</w:t>
                  </w:r>
                </w:p>
              </w:tc>
              <w:tc>
                <w:tcPr>
                  <w:tcW w:w="603" w:type="pct"/>
                  <w:tcBorders>
                    <w:tl2br w:val="nil"/>
                    <w:tr2bl w:val="nil"/>
                  </w:tcBorders>
                  <w:noWrap/>
                  <w:tcMar>
                    <w:top w:w="15" w:type="dxa"/>
                    <w:left w:w="15" w:type="dxa"/>
                    <w:right w:w="15" w:type="dxa"/>
                  </w:tcMar>
                  <w:vAlign w:val="center"/>
                </w:tcPr>
                <w:p w14:paraId="413EA6C4">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套</w:t>
                  </w:r>
                </w:p>
              </w:tc>
              <w:tc>
                <w:tcPr>
                  <w:tcW w:w="349" w:type="pct"/>
                  <w:tcBorders>
                    <w:tl2br w:val="nil"/>
                    <w:tr2bl w:val="nil"/>
                  </w:tcBorders>
                  <w:noWrap/>
                  <w:tcMar>
                    <w:top w:w="15" w:type="dxa"/>
                    <w:left w:w="15" w:type="dxa"/>
                    <w:right w:w="15" w:type="dxa"/>
                  </w:tcMar>
                  <w:vAlign w:val="center"/>
                </w:tcPr>
                <w:p w14:paraId="5DD73D32">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w:t>
                  </w:r>
                </w:p>
              </w:tc>
            </w:tr>
            <w:tr w14:paraId="1165CA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73" w:type="pct"/>
                  <w:tcBorders>
                    <w:tl2br w:val="nil"/>
                    <w:tr2bl w:val="nil"/>
                  </w:tcBorders>
                  <w:noWrap/>
                  <w:tcMar>
                    <w:top w:w="15" w:type="dxa"/>
                    <w:left w:w="15" w:type="dxa"/>
                    <w:right w:w="15" w:type="dxa"/>
                  </w:tcMar>
                  <w:vAlign w:val="center"/>
                </w:tcPr>
                <w:p w14:paraId="4B610C99">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12</w:t>
                  </w:r>
                </w:p>
              </w:tc>
              <w:tc>
                <w:tcPr>
                  <w:tcW w:w="826" w:type="pct"/>
                  <w:tcBorders>
                    <w:tl2br w:val="nil"/>
                    <w:tr2bl w:val="nil"/>
                  </w:tcBorders>
                  <w:noWrap/>
                  <w:tcMar>
                    <w:top w:w="15" w:type="dxa"/>
                    <w:left w:w="15" w:type="dxa"/>
                    <w:right w:w="15" w:type="dxa"/>
                  </w:tcMar>
                  <w:vAlign w:val="center"/>
                </w:tcPr>
                <w:p w14:paraId="4C5CA243">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w:t>
                  </w:r>
                </w:p>
              </w:tc>
              <w:tc>
                <w:tcPr>
                  <w:tcW w:w="1415" w:type="pct"/>
                  <w:tcBorders>
                    <w:tl2br w:val="nil"/>
                    <w:tr2bl w:val="nil"/>
                  </w:tcBorders>
                  <w:noWrap/>
                  <w:tcMar>
                    <w:top w:w="15" w:type="dxa"/>
                    <w:left w:w="15" w:type="dxa"/>
                    <w:right w:w="15" w:type="dxa"/>
                  </w:tcMar>
                  <w:vAlign w:val="center"/>
                </w:tcPr>
                <w:p w14:paraId="60FED238">
                  <w:pPr>
                    <w:widowControl/>
                    <w:adjustRightInd w:val="0"/>
                    <w:snapToGrid w:val="0"/>
                    <w:jc w:val="center"/>
                    <w:textAlignment w:val="center"/>
                    <w:rPr>
                      <w:rFonts w:hint="eastAsia"/>
                      <w:color w:val="auto"/>
                      <w:szCs w:val="21"/>
                      <w:lang w:eastAsia="zh-CN"/>
                    </w:rPr>
                  </w:pPr>
                  <w:r>
                    <w:rPr>
                      <w:rFonts w:hint="eastAsia"/>
                      <w:color w:val="auto"/>
                      <w:szCs w:val="21"/>
                      <w:lang w:eastAsia="zh-CN"/>
                    </w:rPr>
                    <w:t>变电器</w:t>
                  </w:r>
                </w:p>
              </w:tc>
              <w:tc>
                <w:tcPr>
                  <w:tcW w:w="1531" w:type="pct"/>
                  <w:tcBorders>
                    <w:tl2br w:val="nil"/>
                    <w:tr2bl w:val="nil"/>
                  </w:tcBorders>
                  <w:noWrap/>
                  <w:tcMar>
                    <w:top w:w="15" w:type="dxa"/>
                    <w:left w:w="15" w:type="dxa"/>
                    <w:right w:w="15" w:type="dxa"/>
                  </w:tcMar>
                  <w:vAlign w:val="center"/>
                </w:tcPr>
                <w:p w14:paraId="02A4DE70">
                  <w:pPr>
                    <w:widowControl/>
                    <w:adjustRightInd w:val="0"/>
                    <w:snapToGrid w:val="0"/>
                    <w:jc w:val="center"/>
                    <w:textAlignment w:val="center"/>
                    <w:rPr>
                      <w:rFonts w:hint="default"/>
                      <w:color w:val="auto"/>
                      <w:szCs w:val="21"/>
                      <w:lang w:val="en-US" w:eastAsia="zh-CN"/>
                    </w:rPr>
                  </w:pPr>
                  <w:r>
                    <w:rPr>
                      <w:rFonts w:hint="eastAsia" w:cs="Times New Roman"/>
                      <w:color w:val="000000"/>
                      <w:kern w:val="2"/>
                      <w:sz w:val="21"/>
                      <w:szCs w:val="21"/>
                      <w:highlight w:val="none"/>
                      <w:lang w:val="en-US" w:eastAsia="zh-CN" w:bidi="ar"/>
                    </w:rPr>
                    <w:t>YB-12/0.4（FR）/T</w:t>
                  </w:r>
                </w:p>
              </w:tc>
              <w:tc>
                <w:tcPr>
                  <w:tcW w:w="603" w:type="pct"/>
                  <w:tcBorders>
                    <w:tl2br w:val="nil"/>
                    <w:tr2bl w:val="nil"/>
                  </w:tcBorders>
                  <w:noWrap/>
                  <w:tcMar>
                    <w:top w:w="15" w:type="dxa"/>
                    <w:left w:w="15" w:type="dxa"/>
                    <w:right w:w="15" w:type="dxa"/>
                  </w:tcMar>
                  <w:vAlign w:val="center"/>
                </w:tcPr>
                <w:p w14:paraId="515BA548">
                  <w:pPr>
                    <w:widowControl/>
                    <w:adjustRightInd w:val="0"/>
                    <w:snapToGrid w:val="0"/>
                    <w:jc w:val="center"/>
                    <w:textAlignment w:val="center"/>
                    <w:rPr>
                      <w:rFonts w:hint="eastAsia"/>
                      <w:color w:val="auto"/>
                      <w:szCs w:val="21"/>
                      <w:lang w:val="en-US" w:eastAsia="zh-CN"/>
                    </w:rPr>
                  </w:pPr>
                  <w:r>
                    <w:rPr>
                      <w:rFonts w:hint="eastAsia"/>
                      <w:color w:val="auto"/>
                      <w:szCs w:val="21"/>
                      <w:lang w:val="en-US" w:eastAsia="zh-CN"/>
                    </w:rPr>
                    <w:t>台</w:t>
                  </w:r>
                </w:p>
              </w:tc>
              <w:tc>
                <w:tcPr>
                  <w:tcW w:w="349" w:type="pct"/>
                  <w:tcBorders>
                    <w:tl2br w:val="nil"/>
                    <w:tr2bl w:val="nil"/>
                  </w:tcBorders>
                  <w:noWrap/>
                  <w:tcMar>
                    <w:top w:w="15" w:type="dxa"/>
                    <w:left w:w="15" w:type="dxa"/>
                    <w:right w:w="15" w:type="dxa"/>
                  </w:tcMar>
                  <w:vAlign w:val="center"/>
                </w:tcPr>
                <w:p w14:paraId="458B1C59">
                  <w:pPr>
                    <w:widowControl/>
                    <w:adjustRightInd w:val="0"/>
                    <w:snapToGrid w:val="0"/>
                    <w:jc w:val="center"/>
                    <w:textAlignment w:val="center"/>
                    <w:rPr>
                      <w:rFonts w:hint="default"/>
                      <w:color w:val="auto"/>
                      <w:szCs w:val="21"/>
                      <w:lang w:val="en-US" w:eastAsia="zh-CN"/>
                    </w:rPr>
                  </w:pPr>
                  <w:r>
                    <w:rPr>
                      <w:rFonts w:hint="eastAsia"/>
                      <w:color w:val="auto"/>
                      <w:szCs w:val="21"/>
                      <w:lang w:val="en-US" w:eastAsia="zh-CN"/>
                    </w:rPr>
                    <w:t>1</w:t>
                  </w:r>
                </w:p>
              </w:tc>
            </w:tr>
          </w:tbl>
          <w:p w14:paraId="6D236664">
            <w:pPr>
              <w:keepNext w:val="0"/>
              <w:keepLines w:val="0"/>
              <w:widowControl/>
              <w:suppressLineNumbers w:val="0"/>
              <w:spacing w:line="360" w:lineRule="auto"/>
              <w:jc w:val="left"/>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、主要原辅材料及燃料的种类及用量</w:t>
            </w:r>
          </w:p>
          <w:p w14:paraId="7A6D8F9C">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1"/>
                <w:szCs w:val="21"/>
              </w:rPr>
              <w:t>表2-</w:t>
            </w:r>
            <w:r>
              <w:rPr>
                <w:rFonts w:hint="eastAsia" w:ascii="Times New Roman" w:hAnsi="Times New Roman" w:eastAsia="宋体" w:cs="Times New Roman"/>
                <w:b/>
                <w:bCs/>
                <w:color w:val="auto"/>
                <w:sz w:val="21"/>
                <w:szCs w:val="21"/>
                <w:lang w:val="en-US" w:eastAsia="zh-CN"/>
              </w:rPr>
              <w:t xml:space="preserve">4  </w:t>
            </w:r>
            <w:r>
              <w:rPr>
                <w:rFonts w:hint="default" w:ascii="Times New Roman" w:hAnsi="Times New Roman" w:eastAsia="宋体" w:cs="Times New Roman"/>
                <w:b/>
                <w:bCs/>
                <w:color w:val="auto"/>
                <w:sz w:val="21"/>
                <w:szCs w:val="21"/>
                <w:lang w:eastAsia="zh-CN"/>
              </w:rPr>
              <w:t>本项目</w:t>
            </w:r>
            <w:r>
              <w:rPr>
                <w:rFonts w:hint="default" w:ascii="Times New Roman" w:hAnsi="Times New Roman" w:eastAsia="宋体" w:cs="Times New Roman"/>
                <w:b/>
                <w:bCs/>
                <w:color w:val="auto"/>
                <w:sz w:val="21"/>
                <w:szCs w:val="21"/>
              </w:rPr>
              <w:t>主要原辅材料及</w:t>
            </w:r>
            <w:r>
              <w:rPr>
                <w:rFonts w:hint="default" w:ascii="Times New Roman" w:hAnsi="Times New Roman" w:eastAsia="宋体" w:cs="Times New Roman"/>
                <w:b/>
                <w:bCs/>
                <w:color w:val="auto"/>
                <w:sz w:val="21"/>
                <w:szCs w:val="21"/>
                <w:lang w:eastAsia="zh-CN"/>
              </w:rPr>
              <w:t>能源消耗</w:t>
            </w:r>
            <w:r>
              <w:rPr>
                <w:rFonts w:hint="default" w:ascii="Times New Roman" w:hAnsi="Times New Roman" w:eastAsia="宋体" w:cs="Times New Roman"/>
                <w:b/>
                <w:bCs/>
                <w:color w:val="auto"/>
                <w:sz w:val="21"/>
                <w:szCs w:val="21"/>
              </w:rPr>
              <w:t>的种类及用量</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57"/>
              <w:gridCol w:w="585"/>
              <w:gridCol w:w="935"/>
              <w:gridCol w:w="950"/>
              <w:gridCol w:w="981"/>
              <w:gridCol w:w="1700"/>
              <w:gridCol w:w="934"/>
              <w:gridCol w:w="923"/>
              <w:gridCol w:w="1609"/>
            </w:tblGrid>
            <w:tr w14:paraId="42C50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54E478FA">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序号</w:t>
                  </w:r>
                </w:p>
              </w:tc>
              <w:tc>
                <w:tcPr>
                  <w:tcW w:w="322" w:type="pct"/>
                  <w:tcBorders>
                    <w:tl2br w:val="nil"/>
                    <w:tr2bl w:val="nil"/>
                  </w:tcBorders>
                  <w:noWrap w:val="0"/>
                  <w:vAlign w:val="center"/>
                </w:tcPr>
                <w:p w14:paraId="7576409F">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种类</w:t>
                  </w:r>
                </w:p>
              </w:tc>
              <w:tc>
                <w:tcPr>
                  <w:tcW w:w="515" w:type="pct"/>
                  <w:tcBorders>
                    <w:tl2br w:val="nil"/>
                    <w:tr2bl w:val="nil"/>
                  </w:tcBorders>
                  <w:noWrap w:val="0"/>
                  <w:vAlign w:val="center"/>
                </w:tcPr>
                <w:p w14:paraId="56BAADCA">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名称</w:t>
                  </w:r>
                </w:p>
              </w:tc>
              <w:tc>
                <w:tcPr>
                  <w:tcW w:w="523" w:type="pct"/>
                  <w:tcBorders>
                    <w:tl2br w:val="nil"/>
                    <w:tr2bl w:val="nil"/>
                  </w:tcBorders>
                  <w:noWrap w:val="0"/>
                  <w:vAlign w:val="center"/>
                </w:tcPr>
                <w:p w14:paraId="4CF09158">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设计年使用量</w:t>
                  </w:r>
                </w:p>
              </w:tc>
              <w:tc>
                <w:tcPr>
                  <w:tcW w:w="540" w:type="pct"/>
                  <w:tcBorders>
                    <w:tl2br w:val="nil"/>
                    <w:tr2bl w:val="nil"/>
                  </w:tcBorders>
                  <w:noWrap w:val="0"/>
                  <w:vAlign w:val="center"/>
                </w:tcPr>
                <w:p w14:paraId="1AD1D147">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计量单位</w:t>
                  </w:r>
                </w:p>
              </w:tc>
              <w:tc>
                <w:tcPr>
                  <w:tcW w:w="936" w:type="pct"/>
                  <w:tcBorders>
                    <w:tl2br w:val="nil"/>
                    <w:tr2bl w:val="nil"/>
                  </w:tcBorders>
                  <w:noWrap w:val="0"/>
                  <w:vAlign w:val="center"/>
                </w:tcPr>
                <w:p w14:paraId="64E4284E">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eastAsia" w:ascii="Times New Roman" w:hAnsi="Times New Roman" w:cs="Times New Roman"/>
                      <w:kern w:val="2"/>
                      <w:sz w:val="21"/>
                      <w:szCs w:val="21"/>
                      <w:lang w:val="en-US" w:eastAsia="zh-CN" w:bidi="ar"/>
                    </w:rPr>
                    <w:t>规格</w:t>
                  </w:r>
                </w:p>
              </w:tc>
              <w:tc>
                <w:tcPr>
                  <w:tcW w:w="514" w:type="pct"/>
                  <w:tcBorders>
                    <w:tl2br w:val="nil"/>
                    <w:tr2bl w:val="nil"/>
                  </w:tcBorders>
                  <w:noWrap w:val="0"/>
                  <w:vAlign w:val="center"/>
                </w:tcPr>
                <w:p w14:paraId="793CB974">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厂区贮存量</w:t>
                  </w:r>
                </w:p>
              </w:tc>
              <w:tc>
                <w:tcPr>
                  <w:tcW w:w="508" w:type="pct"/>
                  <w:tcBorders>
                    <w:tl2br w:val="nil"/>
                    <w:tr2bl w:val="nil"/>
                  </w:tcBorders>
                  <w:noWrap w:val="0"/>
                  <w:vAlign w:val="center"/>
                </w:tcPr>
                <w:p w14:paraId="0E8C07E3">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贮存位置</w:t>
                  </w:r>
                </w:p>
              </w:tc>
              <w:tc>
                <w:tcPr>
                  <w:tcW w:w="886" w:type="pct"/>
                  <w:tcBorders>
                    <w:tl2br w:val="nil"/>
                    <w:tr2bl w:val="nil"/>
                  </w:tcBorders>
                  <w:noWrap w:val="0"/>
                  <w:vAlign w:val="center"/>
                </w:tcPr>
                <w:p w14:paraId="49CEA024">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其他信息</w:t>
                  </w:r>
                </w:p>
              </w:tc>
            </w:tr>
            <w:tr w14:paraId="04C217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209272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322" w:type="pct"/>
                  <w:vMerge w:val="restart"/>
                  <w:tcBorders>
                    <w:tl2br w:val="nil"/>
                    <w:tr2bl w:val="nil"/>
                  </w:tcBorders>
                  <w:noWrap w:val="0"/>
                  <w:vAlign w:val="center"/>
                </w:tcPr>
                <w:p w14:paraId="6ED969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原料</w:t>
                  </w:r>
                </w:p>
              </w:tc>
              <w:tc>
                <w:tcPr>
                  <w:tcW w:w="515" w:type="pct"/>
                  <w:tcBorders>
                    <w:tl2br w:val="nil"/>
                    <w:tr2bl w:val="nil"/>
                  </w:tcBorders>
                  <w:noWrap w:val="0"/>
                  <w:vAlign w:val="center"/>
                </w:tcPr>
                <w:p w14:paraId="2FA8AE8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0F834FD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89304</w:t>
                  </w:r>
                </w:p>
              </w:tc>
              <w:tc>
                <w:tcPr>
                  <w:tcW w:w="540" w:type="pct"/>
                  <w:tcBorders>
                    <w:tl2br w:val="nil"/>
                    <w:tr2bl w:val="nil"/>
                  </w:tcBorders>
                  <w:noWrap w:val="0"/>
                  <w:vAlign w:val="center"/>
                </w:tcPr>
                <w:p w14:paraId="47F5494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1742C0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2440</w:t>
                  </w:r>
                  <w:r>
                    <w:rPr>
                      <w:rFonts w:hint="default" w:ascii="Arial" w:hAnsi="Arial" w:cs="Arial"/>
                      <w:kern w:val="2"/>
                      <w:sz w:val="21"/>
                      <w:szCs w:val="21"/>
                      <w:lang w:val="en-US" w:eastAsia="zh-CN"/>
                    </w:rPr>
                    <w:t>×</w:t>
                  </w:r>
                  <w:r>
                    <w:rPr>
                      <w:rFonts w:hint="eastAsia" w:cs="Times New Roman"/>
                      <w:kern w:val="2"/>
                      <w:sz w:val="21"/>
                      <w:szCs w:val="21"/>
                      <w:lang w:val="en-US" w:eastAsia="zh-CN"/>
                    </w:rPr>
                    <w:t>3660</w:t>
                  </w:r>
                  <w:r>
                    <w:rPr>
                      <w:rFonts w:hint="default" w:ascii="Arial" w:hAnsi="Arial" w:cs="Arial"/>
                      <w:kern w:val="2"/>
                      <w:sz w:val="21"/>
                      <w:szCs w:val="21"/>
                      <w:lang w:val="en-US" w:eastAsia="zh-CN"/>
                    </w:rPr>
                    <w:t>×</w:t>
                  </w:r>
                  <w:r>
                    <w:rPr>
                      <w:rFonts w:hint="eastAsia" w:cs="Times New Roman"/>
                      <w:kern w:val="2"/>
                      <w:sz w:val="21"/>
                      <w:szCs w:val="21"/>
                      <w:lang w:val="en-US" w:eastAsia="zh-CN"/>
                    </w:rPr>
                    <w:t>4mm</w:t>
                  </w:r>
                </w:p>
              </w:tc>
              <w:tc>
                <w:tcPr>
                  <w:tcW w:w="514" w:type="pct"/>
                  <w:tcBorders>
                    <w:tl2br w:val="nil"/>
                    <w:tr2bl w:val="nil"/>
                  </w:tcBorders>
                  <w:noWrap w:val="0"/>
                  <w:vAlign w:val="center"/>
                </w:tcPr>
                <w:p w14:paraId="3D7A1C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rPr>
                  </w:pPr>
                  <w:r>
                    <w:rPr>
                      <w:rFonts w:hint="eastAsia" w:cs="Times New Roman"/>
                      <w:kern w:val="2"/>
                      <w:sz w:val="21"/>
                      <w:szCs w:val="21"/>
                      <w:lang w:val="en-US" w:eastAsia="zh-CN" w:bidi="ar"/>
                    </w:rPr>
                    <w:t>3500m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350FBD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7B8DA91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ascii="Times New Roman" w:hAnsi="Times New Roman" w:eastAsia="宋体" w:cs="Times New Roman"/>
                      <w:kern w:val="2"/>
                      <w:sz w:val="21"/>
                      <w:szCs w:val="21"/>
                      <w:lang w:eastAsia="zh-CN"/>
                    </w:rPr>
                  </w:pPr>
                  <w:r>
                    <w:rPr>
                      <w:rFonts w:hint="eastAsia" w:cs="Times New Roman"/>
                      <w:kern w:val="2"/>
                      <w:sz w:val="21"/>
                      <w:szCs w:val="21"/>
                      <w:lang w:eastAsia="zh-CN"/>
                    </w:rPr>
                    <w:t>外购</w:t>
                  </w:r>
                </w:p>
              </w:tc>
            </w:tr>
            <w:tr w14:paraId="23B597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074E6A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w:t>
                  </w:r>
                </w:p>
              </w:tc>
              <w:tc>
                <w:tcPr>
                  <w:tcW w:w="322" w:type="pct"/>
                  <w:vMerge w:val="continue"/>
                  <w:tcBorders>
                    <w:tl2br w:val="nil"/>
                    <w:tr2bl w:val="nil"/>
                  </w:tcBorders>
                  <w:noWrap w:val="0"/>
                  <w:vAlign w:val="center"/>
                </w:tcPr>
                <w:p w14:paraId="1176568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149B136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5B170E4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72468</w:t>
                  </w:r>
                </w:p>
              </w:tc>
              <w:tc>
                <w:tcPr>
                  <w:tcW w:w="540" w:type="pct"/>
                  <w:tcBorders>
                    <w:tl2br w:val="nil"/>
                    <w:tr2bl w:val="nil"/>
                  </w:tcBorders>
                  <w:noWrap w:val="0"/>
                  <w:vAlign w:val="center"/>
                </w:tcPr>
                <w:p w14:paraId="7EC2E93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2B43DC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3300</w:t>
                  </w:r>
                  <w:r>
                    <w:rPr>
                      <w:rFonts w:hint="default" w:ascii="Arial" w:hAnsi="Arial" w:cs="Arial"/>
                      <w:kern w:val="2"/>
                      <w:sz w:val="21"/>
                      <w:szCs w:val="21"/>
                      <w:lang w:val="en-US" w:eastAsia="zh-CN"/>
                    </w:rPr>
                    <w:t>×</w:t>
                  </w:r>
                  <w:r>
                    <w:rPr>
                      <w:rFonts w:hint="eastAsia" w:cs="Times New Roman"/>
                      <w:kern w:val="2"/>
                      <w:sz w:val="21"/>
                      <w:szCs w:val="21"/>
                      <w:lang w:val="en-US" w:eastAsia="zh-CN" w:bidi="ar"/>
                    </w:rPr>
                    <w:t>4</w:t>
                  </w:r>
                  <w:r>
                    <w:rPr>
                      <w:rFonts w:hint="eastAsia" w:cs="Times New Roman"/>
                      <w:kern w:val="2"/>
                      <w:sz w:val="21"/>
                      <w:szCs w:val="21"/>
                      <w:lang w:val="en-US" w:eastAsia="zh-CN"/>
                    </w:rPr>
                    <w:t>mm</w:t>
                  </w:r>
                </w:p>
              </w:tc>
              <w:tc>
                <w:tcPr>
                  <w:tcW w:w="514" w:type="pct"/>
                  <w:tcBorders>
                    <w:tl2br w:val="nil"/>
                    <w:tr2bl w:val="nil"/>
                  </w:tcBorders>
                  <w:noWrap w:val="0"/>
                  <w:vAlign w:val="center"/>
                </w:tcPr>
                <w:p w14:paraId="51E1C3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2100m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5FE78C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17176A2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30C1FD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2FAD37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3</w:t>
                  </w:r>
                </w:p>
              </w:tc>
              <w:tc>
                <w:tcPr>
                  <w:tcW w:w="322" w:type="pct"/>
                  <w:vMerge w:val="continue"/>
                  <w:tcBorders>
                    <w:tl2br w:val="nil"/>
                    <w:tr2bl w:val="nil"/>
                  </w:tcBorders>
                  <w:noWrap w:val="0"/>
                  <w:vAlign w:val="center"/>
                </w:tcPr>
                <w:p w14:paraId="22C95C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0B5030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118A38A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18150</w:t>
                  </w:r>
                </w:p>
              </w:tc>
              <w:tc>
                <w:tcPr>
                  <w:tcW w:w="540" w:type="pct"/>
                  <w:tcBorders>
                    <w:tl2br w:val="nil"/>
                    <w:tr2bl w:val="nil"/>
                  </w:tcBorders>
                  <w:noWrap w:val="0"/>
                  <w:vAlign w:val="center"/>
                </w:tcPr>
                <w:p w14:paraId="7A025C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29F40F2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1650</w:t>
                  </w:r>
                  <w:r>
                    <w:rPr>
                      <w:rFonts w:hint="default" w:ascii="Arial" w:hAnsi="Arial" w:cs="Arial"/>
                      <w:kern w:val="2"/>
                      <w:sz w:val="21"/>
                      <w:szCs w:val="21"/>
                      <w:lang w:val="en-US" w:eastAsia="zh-CN"/>
                    </w:rPr>
                    <w:t>×</w:t>
                  </w:r>
                  <w:r>
                    <w:rPr>
                      <w:rFonts w:hint="eastAsia" w:cs="Times New Roman"/>
                      <w:kern w:val="2"/>
                      <w:sz w:val="21"/>
                      <w:szCs w:val="21"/>
                      <w:lang w:val="en-US" w:eastAsia="zh-CN" w:bidi="ar"/>
                    </w:rPr>
                    <w:t>2200</w:t>
                  </w:r>
                  <w:r>
                    <w:rPr>
                      <w:rFonts w:hint="default" w:ascii="Arial" w:hAnsi="Arial" w:cs="Arial"/>
                      <w:kern w:val="2"/>
                      <w:sz w:val="21"/>
                      <w:szCs w:val="21"/>
                      <w:lang w:val="en-US" w:eastAsia="zh-CN"/>
                    </w:rPr>
                    <w:t>×</w:t>
                  </w:r>
                  <w:r>
                    <w:rPr>
                      <w:rFonts w:hint="eastAsia" w:cs="Times New Roman"/>
                      <w:kern w:val="2"/>
                      <w:sz w:val="21"/>
                      <w:szCs w:val="21"/>
                      <w:lang w:val="en-US" w:eastAsia="zh-CN" w:bidi="ar"/>
                    </w:rPr>
                    <w:t>4</w:t>
                  </w:r>
                  <w:r>
                    <w:rPr>
                      <w:rFonts w:hint="eastAsia" w:cs="Times New Roman"/>
                      <w:kern w:val="2"/>
                      <w:sz w:val="21"/>
                      <w:szCs w:val="21"/>
                      <w:lang w:val="en-US" w:eastAsia="zh-CN"/>
                    </w:rPr>
                    <w:t>mm</w:t>
                  </w:r>
                </w:p>
              </w:tc>
              <w:tc>
                <w:tcPr>
                  <w:tcW w:w="514" w:type="pct"/>
                  <w:tcBorders>
                    <w:tl2br w:val="nil"/>
                    <w:tr2bl w:val="nil"/>
                  </w:tcBorders>
                  <w:noWrap w:val="0"/>
                  <w:vAlign w:val="center"/>
                </w:tcPr>
                <w:p w14:paraId="7911A3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1800m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399F1F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0882969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22F74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68BF34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4</w:t>
                  </w:r>
                </w:p>
              </w:tc>
              <w:tc>
                <w:tcPr>
                  <w:tcW w:w="322" w:type="pct"/>
                  <w:vMerge w:val="continue"/>
                  <w:tcBorders>
                    <w:tl2br w:val="nil"/>
                    <w:tr2bl w:val="nil"/>
                  </w:tcBorders>
                  <w:noWrap w:val="0"/>
                  <w:vAlign w:val="center"/>
                </w:tcPr>
                <w:p w14:paraId="444A7B7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4F0457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7F502B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26791</w:t>
                  </w:r>
                </w:p>
              </w:tc>
              <w:tc>
                <w:tcPr>
                  <w:tcW w:w="540" w:type="pct"/>
                  <w:tcBorders>
                    <w:tl2br w:val="nil"/>
                    <w:tr2bl w:val="nil"/>
                  </w:tcBorders>
                  <w:noWrap w:val="0"/>
                  <w:vAlign w:val="center"/>
                </w:tcPr>
                <w:p w14:paraId="055B56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5CFAB6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3660</w:t>
                  </w:r>
                  <w:r>
                    <w:rPr>
                      <w:rFonts w:hint="default" w:ascii="Arial" w:hAnsi="Arial" w:cs="Arial"/>
                      <w:kern w:val="2"/>
                      <w:sz w:val="21"/>
                      <w:szCs w:val="21"/>
                      <w:lang w:val="en-US" w:eastAsia="zh-CN"/>
                    </w:rPr>
                    <w:t>×</w:t>
                  </w:r>
                  <w:r>
                    <w:rPr>
                      <w:rFonts w:hint="eastAsia" w:cs="Times New Roman"/>
                      <w:kern w:val="2"/>
                      <w:sz w:val="21"/>
                      <w:szCs w:val="21"/>
                      <w:lang w:val="en-US" w:eastAsia="zh-CN" w:bidi="ar"/>
                    </w:rPr>
                    <w:t>5</w:t>
                  </w:r>
                  <w:r>
                    <w:rPr>
                      <w:rFonts w:hint="eastAsia" w:cs="Times New Roman"/>
                      <w:kern w:val="2"/>
                      <w:sz w:val="21"/>
                      <w:szCs w:val="21"/>
                      <w:lang w:val="en-US" w:eastAsia="zh-CN"/>
                    </w:rPr>
                    <w:t>mm</w:t>
                  </w:r>
                </w:p>
              </w:tc>
              <w:tc>
                <w:tcPr>
                  <w:tcW w:w="514" w:type="pct"/>
                  <w:tcBorders>
                    <w:tl2br w:val="nil"/>
                    <w:tr2bl w:val="nil"/>
                  </w:tcBorders>
                  <w:noWrap w:val="0"/>
                  <w:vAlign w:val="center"/>
                </w:tcPr>
                <w:p w14:paraId="414E3B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600m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5A3F2E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60030C7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3A1E9E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5EE605A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5</w:t>
                  </w:r>
                </w:p>
              </w:tc>
              <w:tc>
                <w:tcPr>
                  <w:tcW w:w="322" w:type="pct"/>
                  <w:vMerge w:val="continue"/>
                  <w:tcBorders>
                    <w:tl2br w:val="nil"/>
                    <w:tr2bl w:val="nil"/>
                  </w:tcBorders>
                  <w:noWrap w:val="0"/>
                  <w:vAlign w:val="center"/>
                </w:tcPr>
                <w:p w14:paraId="449D239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621196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0E0FADD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52582</w:t>
                  </w:r>
                </w:p>
              </w:tc>
              <w:tc>
                <w:tcPr>
                  <w:tcW w:w="540" w:type="pct"/>
                  <w:tcBorders>
                    <w:tl2br w:val="nil"/>
                    <w:tr2bl w:val="nil"/>
                  </w:tcBorders>
                  <w:noWrap w:val="0"/>
                  <w:vAlign w:val="center"/>
                </w:tcPr>
                <w:p w14:paraId="4E7AC3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5D97F4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3660</w:t>
                  </w:r>
                  <w:r>
                    <w:rPr>
                      <w:rFonts w:hint="default" w:ascii="Arial" w:hAnsi="Arial" w:cs="Arial"/>
                      <w:kern w:val="2"/>
                      <w:sz w:val="21"/>
                      <w:szCs w:val="21"/>
                      <w:lang w:val="en-US" w:eastAsia="zh-CN"/>
                    </w:rPr>
                    <w:t>×</w:t>
                  </w:r>
                  <w:r>
                    <w:rPr>
                      <w:rFonts w:hint="eastAsia" w:cs="Times New Roman"/>
                      <w:kern w:val="2"/>
                      <w:sz w:val="21"/>
                      <w:szCs w:val="21"/>
                      <w:lang w:val="en-US" w:eastAsia="zh-CN" w:bidi="ar"/>
                    </w:rPr>
                    <w:t>6</w:t>
                  </w:r>
                  <w:r>
                    <w:rPr>
                      <w:rFonts w:hint="eastAsia" w:cs="Times New Roman"/>
                      <w:kern w:val="2"/>
                      <w:sz w:val="21"/>
                      <w:szCs w:val="21"/>
                      <w:lang w:val="en-US" w:eastAsia="zh-CN"/>
                    </w:rPr>
                    <w:t>mm</w:t>
                  </w:r>
                </w:p>
              </w:tc>
              <w:tc>
                <w:tcPr>
                  <w:tcW w:w="514" w:type="pct"/>
                  <w:tcBorders>
                    <w:tl2br w:val="nil"/>
                    <w:tr2bl w:val="nil"/>
                  </w:tcBorders>
                  <w:noWrap w:val="0"/>
                  <w:vAlign w:val="center"/>
                </w:tcPr>
                <w:p w14:paraId="5A314DB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800m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5DED44F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64B2BD3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607A36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47643D2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6</w:t>
                  </w:r>
                </w:p>
              </w:tc>
              <w:tc>
                <w:tcPr>
                  <w:tcW w:w="322" w:type="pct"/>
                  <w:vMerge w:val="continue"/>
                  <w:tcBorders>
                    <w:tl2br w:val="nil"/>
                    <w:tr2bl w:val="nil"/>
                  </w:tcBorders>
                  <w:noWrap w:val="0"/>
                  <w:vAlign w:val="center"/>
                </w:tcPr>
                <w:p w14:paraId="048BED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27B21C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005810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71443</w:t>
                  </w:r>
                </w:p>
              </w:tc>
              <w:tc>
                <w:tcPr>
                  <w:tcW w:w="540" w:type="pct"/>
                  <w:tcBorders>
                    <w:tl2br w:val="nil"/>
                    <w:tr2bl w:val="nil"/>
                  </w:tcBorders>
                  <w:noWrap w:val="0"/>
                  <w:vAlign w:val="center"/>
                </w:tcPr>
                <w:p w14:paraId="7A8B82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4DB962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3660</w:t>
                  </w:r>
                  <w:r>
                    <w:rPr>
                      <w:rFonts w:hint="default" w:ascii="Arial" w:hAnsi="Arial" w:cs="Arial"/>
                      <w:kern w:val="2"/>
                      <w:sz w:val="21"/>
                      <w:szCs w:val="21"/>
                      <w:lang w:val="en-US" w:eastAsia="zh-CN"/>
                    </w:rPr>
                    <w:t>×</w:t>
                  </w:r>
                  <w:r>
                    <w:rPr>
                      <w:rFonts w:hint="eastAsia" w:cs="Times New Roman"/>
                      <w:kern w:val="2"/>
                      <w:sz w:val="21"/>
                      <w:szCs w:val="21"/>
                      <w:lang w:val="en-US" w:eastAsia="zh-CN" w:bidi="ar"/>
                    </w:rPr>
                    <w:t>8</w:t>
                  </w:r>
                  <w:r>
                    <w:rPr>
                      <w:rFonts w:hint="eastAsia" w:cs="Times New Roman"/>
                      <w:kern w:val="2"/>
                      <w:sz w:val="21"/>
                      <w:szCs w:val="21"/>
                      <w:lang w:val="en-US" w:eastAsia="zh-CN"/>
                    </w:rPr>
                    <w:t>mm</w:t>
                  </w:r>
                </w:p>
              </w:tc>
              <w:tc>
                <w:tcPr>
                  <w:tcW w:w="514" w:type="pct"/>
                  <w:tcBorders>
                    <w:tl2br w:val="nil"/>
                    <w:tr2bl w:val="nil"/>
                  </w:tcBorders>
                  <w:noWrap w:val="0"/>
                  <w:vAlign w:val="center"/>
                </w:tcPr>
                <w:p w14:paraId="23D559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1600m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3BBA5AA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020E52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40B590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38696F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7</w:t>
                  </w:r>
                </w:p>
              </w:tc>
              <w:tc>
                <w:tcPr>
                  <w:tcW w:w="322" w:type="pct"/>
                  <w:vMerge w:val="continue"/>
                  <w:tcBorders>
                    <w:tl2br w:val="nil"/>
                    <w:tr2bl w:val="nil"/>
                  </w:tcBorders>
                  <w:noWrap w:val="0"/>
                  <w:vAlign w:val="center"/>
                </w:tcPr>
                <w:p w14:paraId="0E6F934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4E5683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68C98E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17861</w:t>
                  </w:r>
                </w:p>
              </w:tc>
              <w:tc>
                <w:tcPr>
                  <w:tcW w:w="540" w:type="pct"/>
                  <w:tcBorders>
                    <w:tl2br w:val="nil"/>
                    <w:tr2bl w:val="nil"/>
                  </w:tcBorders>
                  <w:noWrap w:val="0"/>
                  <w:vAlign w:val="center"/>
                </w:tcPr>
                <w:p w14:paraId="5F0FA0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208CB5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3660</w:t>
                  </w:r>
                  <w:r>
                    <w:rPr>
                      <w:rFonts w:hint="default" w:ascii="Arial" w:hAnsi="Arial" w:cs="Arial"/>
                      <w:kern w:val="2"/>
                      <w:sz w:val="21"/>
                      <w:szCs w:val="21"/>
                      <w:lang w:val="en-US" w:eastAsia="zh-CN"/>
                    </w:rPr>
                    <w:t>×</w:t>
                  </w:r>
                  <w:r>
                    <w:rPr>
                      <w:rFonts w:hint="eastAsia" w:cs="Times New Roman"/>
                      <w:kern w:val="2"/>
                      <w:sz w:val="21"/>
                      <w:szCs w:val="21"/>
                      <w:lang w:val="en-US" w:eastAsia="zh-CN" w:bidi="ar"/>
                    </w:rPr>
                    <w:t>10</w:t>
                  </w:r>
                  <w:r>
                    <w:rPr>
                      <w:rFonts w:hint="eastAsia" w:cs="Times New Roman"/>
                      <w:kern w:val="2"/>
                      <w:sz w:val="21"/>
                      <w:szCs w:val="21"/>
                      <w:lang w:val="en-US" w:eastAsia="zh-CN"/>
                    </w:rPr>
                    <w:t>mm</w:t>
                  </w:r>
                </w:p>
              </w:tc>
              <w:tc>
                <w:tcPr>
                  <w:tcW w:w="514" w:type="pct"/>
                  <w:tcBorders>
                    <w:tl2br w:val="nil"/>
                    <w:tr2bl w:val="nil"/>
                  </w:tcBorders>
                  <w:noWrap w:val="0"/>
                  <w:vAlign w:val="center"/>
                </w:tcPr>
                <w:p w14:paraId="3E5D67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1500m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01919D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45CCED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11DE4C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6E663B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8</w:t>
                  </w:r>
                </w:p>
              </w:tc>
              <w:tc>
                <w:tcPr>
                  <w:tcW w:w="322" w:type="pct"/>
                  <w:vMerge w:val="continue"/>
                  <w:tcBorders>
                    <w:tl2br w:val="nil"/>
                    <w:tr2bl w:val="nil"/>
                  </w:tcBorders>
                  <w:noWrap w:val="0"/>
                  <w:vAlign w:val="center"/>
                </w:tcPr>
                <w:p w14:paraId="0FF29E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77C7F7B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玻璃原片</w:t>
                  </w:r>
                </w:p>
              </w:tc>
              <w:tc>
                <w:tcPr>
                  <w:tcW w:w="523" w:type="pct"/>
                  <w:tcBorders>
                    <w:tl2br w:val="nil"/>
                    <w:tr2bl w:val="nil"/>
                  </w:tcBorders>
                  <w:noWrap w:val="0"/>
                  <w:vAlign w:val="center"/>
                </w:tcPr>
                <w:p w14:paraId="02D513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4465</w:t>
                  </w:r>
                </w:p>
              </w:tc>
              <w:tc>
                <w:tcPr>
                  <w:tcW w:w="540" w:type="pct"/>
                  <w:tcBorders>
                    <w:tl2br w:val="nil"/>
                    <w:tr2bl w:val="nil"/>
                  </w:tcBorders>
                  <w:noWrap w:val="0"/>
                  <w:vAlign w:val="center"/>
                </w:tcPr>
                <w:p w14:paraId="6407A7E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万m</w:t>
                  </w:r>
                  <w:r>
                    <w:rPr>
                      <w:rFonts w:hint="eastAsia" w:cs="Times New Roman"/>
                      <w:kern w:val="2"/>
                      <w:sz w:val="21"/>
                      <w:szCs w:val="21"/>
                      <w:vertAlign w:val="superscript"/>
                      <w:lang w:val="en-US" w:eastAsia="zh-CN" w:bidi="ar"/>
                    </w:rPr>
                    <w:t>2</w:t>
                  </w:r>
                  <w:r>
                    <w:rPr>
                      <w:rFonts w:hint="eastAsia" w:cs="Times New Roman"/>
                      <w:kern w:val="2"/>
                      <w:sz w:val="21"/>
                      <w:szCs w:val="21"/>
                      <w:lang w:val="en-US" w:eastAsia="zh-CN" w:bidi="ar"/>
                    </w:rPr>
                    <w:t>/a</w:t>
                  </w:r>
                </w:p>
              </w:tc>
              <w:tc>
                <w:tcPr>
                  <w:tcW w:w="936" w:type="pct"/>
                  <w:tcBorders>
                    <w:tl2br w:val="nil"/>
                    <w:tr2bl w:val="nil"/>
                  </w:tcBorders>
                  <w:noWrap w:val="0"/>
                  <w:vAlign w:val="center"/>
                </w:tcPr>
                <w:p w14:paraId="770FC44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2440</w:t>
                  </w:r>
                  <w:r>
                    <w:rPr>
                      <w:rFonts w:hint="default" w:ascii="Arial" w:hAnsi="Arial" w:cs="Arial"/>
                      <w:kern w:val="2"/>
                      <w:sz w:val="21"/>
                      <w:szCs w:val="21"/>
                      <w:lang w:val="en-US" w:eastAsia="zh-CN"/>
                    </w:rPr>
                    <w:t>×</w:t>
                  </w:r>
                  <w:r>
                    <w:rPr>
                      <w:rFonts w:hint="eastAsia" w:cs="Times New Roman"/>
                      <w:kern w:val="2"/>
                      <w:sz w:val="21"/>
                      <w:szCs w:val="21"/>
                      <w:lang w:val="en-US" w:eastAsia="zh-CN" w:bidi="ar"/>
                    </w:rPr>
                    <w:t>3660</w:t>
                  </w:r>
                  <w:r>
                    <w:rPr>
                      <w:rFonts w:hint="default" w:ascii="Arial" w:hAnsi="Arial" w:cs="Arial"/>
                      <w:kern w:val="2"/>
                      <w:sz w:val="21"/>
                      <w:szCs w:val="21"/>
                      <w:lang w:val="en-US" w:eastAsia="zh-CN"/>
                    </w:rPr>
                    <w:t>×</w:t>
                  </w:r>
                  <w:r>
                    <w:rPr>
                      <w:rFonts w:hint="eastAsia" w:cs="Times New Roman"/>
                      <w:kern w:val="2"/>
                      <w:sz w:val="21"/>
                      <w:szCs w:val="21"/>
                      <w:lang w:val="en-US" w:eastAsia="zh-CN" w:bidi="ar"/>
                    </w:rPr>
                    <w:t>12</w:t>
                  </w:r>
                  <w:r>
                    <w:rPr>
                      <w:rFonts w:hint="eastAsia" w:cs="Times New Roman"/>
                      <w:kern w:val="2"/>
                      <w:sz w:val="21"/>
                      <w:szCs w:val="21"/>
                      <w:lang w:val="en-US" w:eastAsia="zh-CN"/>
                    </w:rPr>
                    <w:t>mm</w:t>
                  </w:r>
                </w:p>
              </w:tc>
              <w:tc>
                <w:tcPr>
                  <w:tcW w:w="514" w:type="pct"/>
                  <w:tcBorders>
                    <w:tl2br w:val="nil"/>
                    <w:tr2bl w:val="nil"/>
                  </w:tcBorders>
                  <w:noWrap w:val="0"/>
                  <w:vAlign w:val="center"/>
                </w:tcPr>
                <w:p w14:paraId="0E6937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400m</w:t>
                  </w:r>
                  <w:r>
                    <w:rPr>
                      <w:rFonts w:hint="eastAsia" w:cs="Times New Roman"/>
                      <w:kern w:val="2"/>
                      <w:sz w:val="21"/>
                      <w:szCs w:val="21"/>
                      <w:vertAlign w:val="superscript"/>
                      <w:lang w:val="en-US" w:eastAsia="zh-CN" w:bidi="ar"/>
                    </w:rPr>
                    <w:t>2</w:t>
                  </w:r>
                </w:p>
              </w:tc>
              <w:tc>
                <w:tcPr>
                  <w:tcW w:w="508" w:type="pct"/>
                  <w:tcBorders>
                    <w:tl2br w:val="nil"/>
                    <w:tr2bl w:val="nil"/>
                  </w:tcBorders>
                  <w:noWrap w:val="0"/>
                  <w:vAlign w:val="center"/>
                </w:tcPr>
                <w:p w14:paraId="4A87957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245D022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kern w:val="2"/>
                      <w:sz w:val="21"/>
                      <w:szCs w:val="21"/>
                      <w:lang w:eastAsia="zh-CN"/>
                    </w:rPr>
                    <w:t>外购</w:t>
                  </w:r>
                </w:p>
              </w:tc>
            </w:tr>
            <w:tr w14:paraId="210D5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45F0EF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9</w:t>
                  </w:r>
                </w:p>
              </w:tc>
              <w:tc>
                <w:tcPr>
                  <w:tcW w:w="322" w:type="pct"/>
                  <w:vMerge w:val="restart"/>
                  <w:tcBorders>
                    <w:tl2br w:val="nil"/>
                    <w:tr2bl w:val="nil"/>
                  </w:tcBorders>
                  <w:noWrap w:val="0"/>
                  <w:vAlign w:val="center"/>
                </w:tcPr>
                <w:p w14:paraId="075933C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辅料</w:t>
                  </w:r>
                </w:p>
              </w:tc>
              <w:tc>
                <w:tcPr>
                  <w:tcW w:w="515" w:type="pct"/>
                  <w:tcBorders>
                    <w:tl2br w:val="nil"/>
                    <w:tr2bl w:val="nil"/>
                  </w:tcBorders>
                  <w:noWrap w:val="0"/>
                  <w:vAlign w:val="center"/>
                </w:tcPr>
                <w:p w14:paraId="6D8C409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铝条</w:t>
                  </w:r>
                </w:p>
              </w:tc>
              <w:tc>
                <w:tcPr>
                  <w:tcW w:w="523" w:type="pct"/>
                  <w:tcBorders>
                    <w:tl2br w:val="nil"/>
                    <w:tr2bl w:val="nil"/>
                  </w:tcBorders>
                  <w:noWrap w:val="0"/>
                  <w:vAlign w:val="center"/>
                </w:tcPr>
                <w:p w14:paraId="116380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rPr>
                  </w:pPr>
                  <w:r>
                    <w:rPr>
                      <w:rFonts w:hint="eastAsia" w:cs="Times New Roman"/>
                      <w:kern w:val="2"/>
                      <w:sz w:val="21"/>
                      <w:szCs w:val="21"/>
                      <w:lang w:val="en-US" w:eastAsia="zh-CN"/>
                    </w:rPr>
                    <w:t>109500</w:t>
                  </w:r>
                </w:p>
              </w:tc>
              <w:tc>
                <w:tcPr>
                  <w:tcW w:w="540" w:type="pct"/>
                  <w:tcBorders>
                    <w:tl2br w:val="nil"/>
                    <w:tr2bl w:val="nil"/>
                  </w:tcBorders>
                  <w:noWrap w:val="0"/>
                  <w:vAlign w:val="center"/>
                </w:tcPr>
                <w:p w14:paraId="704865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m/a</w:t>
                  </w:r>
                </w:p>
              </w:tc>
              <w:tc>
                <w:tcPr>
                  <w:tcW w:w="936" w:type="pct"/>
                  <w:tcBorders>
                    <w:tl2br w:val="nil"/>
                    <w:tr2bl w:val="nil"/>
                  </w:tcBorders>
                  <w:noWrap w:val="0"/>
                  <w:vAlign w:val="center"/>
                </w:tcPr>
                <w:p w14:paraId="52E3FB3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6A-20A</w:t>
                  </w:r>
                </w:p>
              </w:tc>
              <w:tc>
                <w:tcPr>
                  <w:tcW w:w="514" w:type="pct"/>
                  <w:tcBorders>
                    <w:tl2br w:val="nil"/>
                    <w:tr2bl w:val="nil"/>
                  </w:tcBorders>
                  <w:noWrap w:val="0"/>
                  <w:vAlign w:val="center"/>
                </w:tcPr>
                <w:p w14:paraId="51CFBA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20000m</w:t>
                  </w:r>
                </w:p>
              </w:tc>
              <w:tc>
                <w:tcPr>
                  <w:tcW w:w="508" w:type="pct"/>
                  <w:tcBorders>
                    <w:tl2br w:val="nil"/>
                    <w:tr2bl w:val="nil"/>
                  </w:tcBorders>
                  <w:noWrap w:val="0"/>
                  <w:vAlign w:val="center"/>
                </w:tcPr>
                <w:p w14:paraId="7B8E21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0E652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外购</w:t>
                  </w:r>
                </w:p>
              </w:tc>
            </w:tr>
            <w:tr w14:paraId="2FD74F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369F3BB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10</w:t>
                  </w:r>
                </w:p>
              </w:tc>
              <w:tc>
                <w:tcPr>
                  <w:tcW w:w="322" w:type="pct"/>
                  <w:vMerge w:val="continue"/>
                  <w:tcBorders>
                    <w:tl2br w:val="nil"/>
                    <w:tr2bl w:val="nil"/>
                  </w:tcBorders>
                  <w:noWrap w:val="0"/>
                  <w:vAlign w:val="center"/>
                </w:tcPr>
                <w:p w14:paraId="0EBEDE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6963EA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双组份硅酮胶</w:t>
                  </w:r>
                </w:p>
              </w:tc>
              <w:tc>
                <w:tcPr>
                  <w:tcW w:w="523" w:type="pct"/>
                  <w:tcBorders>
                    <w:tl2br w:val="nil"/>
                    <w:tr2bl w:val="nil"/>
                  </w:tcBorders>
                  <w:noWrap w:val="0"/>
                  <w:vAlign w:val="center"/>
                </w:tcPr>
                <w:p w14:paraId="12CB63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highlight w:val="none"/>
                      <w:lang w:val="en-US" w:eastAsia="zh-CN"/>
                    </w:rPr>
                  </w:pPr>
                  <w:r>
                    <w:rPr>
                      <w:rFonts w:hint="eastAsia" w:cs="Times New Roman"/>
                      <w:kern w:val="2"/>
                      <w:sz w:val="21"/>
                      <w:szCs w:val="21"/>
                      <w:highlight w:val="none"/>
                      <w:lang w:val="en-US" w:eastAsia="zh-CN"/>
                    </w:rPr>
                    <w:t>40</w:t>
                  </w:r>
                </w:p>
              </w:tc>
              <w:tc>
                <w:tcPr>
                  <w:tcW w:w="540" w:type="pct"/>
                  <w:tcBorders>
                    <w:tl2br w:val="nil"/>
                    <w:tr2bl w:val="nil"/>
                  </w:tcBorders>
                  <w:noWrap w:val="0"/>
                  <w:vAlign w:val="center"/>
                </w:tcPr>
                <w:p w14:paraId="485ED8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highlight w:val="none"/>
                      <w:lang w:val="en-US" w:eastAsia="zh-CN" w:bidi="ar"/>
                    </w:rPr>
                  </w:pPr>
                  <w:r>
                    <w:rPr>
                      <w:rFonts w:hint="eastAsia" w:cs="Times New Roman"/>
                      <w:kern w:val="2"/>
                      <w:sz w:val="21"/>
                      <w:szCs w:val="21"/>
                      <w:highlight w:val="none"/>
                      <w:lang w:val="en-US" w:eastAsia="zh-CN" w:bidi="ar"/>
                    </w:rPr>
                    <w:t>t/a</w:t>
                  </w:r>
                </w:p>
              </w:tc>
              <w:tc>
                <w:tcPr>
                  <w:tcW w:w="936" w:type="pct"/>
                  <w:tcBorders>
                    <w:tl2br w:val="nil"/>
                    <w:tr2bl w:val="nil"/>
                  </w:tcBorders>
                  <w:noWrap w:val="0"/>
                  <w:vAlign w:val="center"/>
                </w:tcPr>
                <w:p w14:paraId="6FAE43B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
                    </w:rPr>
                  </w:pPr>
                  <w:r>
                    <w:rPr>
                      <w:rFonts w:hint="eastAsia" w:cs="Times New Roman"/>
                      <w:kern w:val="2"/>
                      <w:sz w:val="21"/>
                      <w:szCs w:val="21"/>
                      <w:highlight w:val="none"/>
                      <w:lang w:val="en-US" w:eastAsia="zh-CN" w:bidi="ar"/>
                    </w:rPr>
                    <w:t>190L/桶，19L/桶</w:t>
                  </w:r>
                </w:p>
              </w:tc>
              <w:tc>
                <w:tcPr>
                  <w:tcW w:w="514" w:type="pct"/>
                  <w:tcBorders>
                    <w:tl2br w:val="nil"/>
                    <w:tr2bl w:val="nil"/>
                  </w:tcBorders>
                  <w:noWrap w:val="0"/>
                  <w:vAlign w:val="center"/>
                </w:tcPr>
                <w:p w14:paraId="2FD53A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highlight w:val="none"/>
                      <w:lang w:val="en-US" w:eastAsia="zh-CN" w:bidi="ar"/>
                    </w:rPr>
                  </w:pPr>
                  <w:r>
                    <w:rPr>
                      <w:rFonts w:hint="eastAsia" w:cs="Times New Roman"/>
                      <w:kern w:val="2"/>
                      <w:sz w:val="21"/>
                      <w:szCs w:val="21"/>
                      <w:highlight w:val="none"/>
                      <w:lang w:val="en-US" w:eastAsia="zh-CN" w:bidi="ar"/>
                    </w:rPr>
                    <w:t>6t</w:t>
                  </w:r>
                </w:p>
              </w:tc>
              <w:tc>
                <w:tcPr>
                  <w:tcW w:w="508" w:type="pct"/>
                  <w:tcBorders>
                    <w:tl2br w:val="nil"/>
                    <w:tr2bl w:val="nil"/>
                  </w:tcBorders>
                  <w:noWrap w:val="0"/>
                  <w:vAlign w:val="center"/>
                </w:tcPr>
                <w:p w14:paraId="5A2EE8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
                    </w:rPr>
                  </w:pPr>
                  <w:r>
                    <w:rPr>
                      <w:rFonts w:hint="eastAsia" w:cs="Times New Roman"/>
                      <w:kern w:val="2"/>
                      <w:sz w:val="21"/>
                      <w:szCs w:val="21"/>
                      <w:lang w:val="en-US" w:eastAsia="zh-CN" w:bidi="ar"/>
                    </w:rPr>
                    <w:t>玻璃胶库</w:t>
                  </w:r>
                </w:p>
              </w:tc>
              <w:tc>
                <w:tcPr>
                  <w:tcW w:w="886" w:type="pct"/>
                  <w:tcBorders>
                    <w:tl2br w:val="nil"/>
                    <w:tr2bl w:val="nil"/>
                  </w:tcBorders>
                  <w:noWrap w:val="0"/>
                  <w:vAlign w:val="center"/>
                </w:tcPr>
                <w:p w14:paraId="110ABE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sz w:val="21"/>
                      <w:szCs w:val="21"/>
                      <w:lang w:val="en-US" w:eastAsia="zh-CN"/>
                    </w:rPr>
                    <w:t>外购</w:t>
                  </w:r>
                </w:p>
              </w:tc>
            </w:tr>
            <w:tr w14:paraId="625F26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0079B9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11</w:t>
                  </w:r>
                </w:p>
              </w:tc>
              <w:tc>
                <w:tcPr>
                  <w:tcW w:w="322" w:type="pct"/>
                  <w:vMerge w:val="continue"/>
                  <w:tcBorders>
                    <w:tl2br w:val="nil"/>
                    <w:tr2bl w:val="nil"/>
                  </w:tcBorders>
                  <w:noWrap w:val="0"/>
                  <w:vAlign w:val="center"/>
                </w:tcPr>
                <w:p w14:paraId="35A54A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4711067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丁基胶</w:t>
                  </w:r>
                </w:p>
              </w:tc>
              <w:tc>
                <w:tcPr>
                  <w:tcW w:w="523" w:type="pct"/>
                  <w:tcBorders>
                    <w:tl2br w:val="nil"/>
                    <w:tr2bl w:val="nil"/>
                  </w:tcBorders>
                  <w:noWrap w:val="0"/>
                  <w:vAlign w:val="center"/>
                </w:tcPr>
                <w:p w14:paraId="7AA9A7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rPr>
                  </w:pPr>
                  <w:r>
                    <w:rPr>
                      <w:rFonts w:hint="eastAsia"/>
                      <w:color w:val="auto"/>
                      <w:sz w:val="21"/>
                      <w:szCs w:val="21"/>
                      <w:lang w:val="en-US" w:eastAsia="zh-CN"/>
                    </w:rPr>
                    <w:t>3.2</w:t>
                  </w:r>
                </w:p>
              </w:tc>
              <w:tc>
                <w:tcPr>
                  <w:tcW w:w="540" w:type="pct"/>
                  <w:tcBorders>
                    <w:tl2br w:val="nil"/>
                    <w:tr2bl w:val="nil"/>
                  </w:tcBorders>
                  <w:noWrap w:val="0"/>
                  <w:vAlign w:val="center"/>
                </w:tcPr>
                <w:p w14:paraId="322F4C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
                    </w:rPr>
                    <w:t>t/a</w:t>
                  </w:r>
                </w:p>
              </w:tc>
              <w:tc>
                <w:tcPr>
                  <w:tcW w:w="936" w:type="pct"/>
                  <w:tcBorders>
                    <w:tl2br w:val="nil"/>
                    <w:tr2bl w:val="nil"/>
                  </w:tcBorders>
                  <w:noWrap w:val="0"/>
                  <w:vAlign w:val="center"/>
                </w:tcPr>
                <w:p w14:paraId="6770EC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28kg/桶</w:t>
                  </w:r>
                </w:p>
              </w:tc>
              <w:tc>
                <w:tcPr>
                  <w:tcW w:w="514" w:type="pct"/>
                  <w:tcBorders>
                    <w:tl2br w:val="nil"/>
                    <w:tr2bl w:val="nil"/>
                  </w:tcBorders>
                  <w:noWrap w:val="0"/>
                  <w:vAlign w:val="center"/>
                </w:tcPr>
                <w:p w14:paraId="444033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lang w:val="en-US" w:eastAsia="zh-CN" w:bidi="ar"/>
                    </w:rPr>
                  </w:pPr>
                  <w:r>
                    <w:rPr>
                      <w:rFonts w:hint="eastAsia" w:cs="Times New Roman"/>
                      <w:kern w:val="2"/>
                      <w:sz w:val="21"/>
                      <w:szCs w:val="21"/>
                      <w:lang w:val="en-US" w:eastAsia="zh-CN" w:bidi="ar"/>
                    </w:rPr>
                    <w:t>2</w:t>
                  </w:r>
                  <w:r>
                    <w:rPr>
                      <w:rFonts w:hint="eastAsia" w:cs="Times New Roman"/>
                      <w:kern w:val="2"/>
                      <w:sz w:val="21"/>
                      <w:szCs w:val="21"/>
                      <w:highlight w:val="none"/>
                      <w:lang w:val="en-US" w:eastAsia="zh-CN" w:bidi="ar"/>
                    </w:rPr>
                    <w:t>t</w:t>
                  </w:r>
                </w:p>
              </w:tc>
              <w:tc>
                <w:tcPr>
                  <w:tcW w:w="508" w:type="pct"/>
                  <w:tcBorders>
                    <w:tl2br w:val="nil"/>
                    <w:tr2bl w:val="nil"/>
                  </w:tcBorders>
                  <w:noWrap w:val="0"/>
                  <w:vAlign w:val="center"/>
                </w:tcPr>
                <w:p w14:paraId="447365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玻璃胶库</w:t>
                  </w:r>
                </w:p>
              </w:tc>
              <w:tc>
                <w:tcPr>
                  <w:tcW w:w="886" w:type="pct"/>
                  <w:tcBorders>
                    <w:tl2br w:val="nil"/>
                    <w:tr2bl w:val="nil"/>
                  </w:tcBorders>
                  <w:noWrap w:val="0"/>
                  <w:vAlign w:val="center"/>
                </w:tcPr>
                <w:p w14:paraId="3534DA7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cs="Times New Roman"/>
                      <w:kern w:val="2"/>
                      <w:sz w:val="21"/>
                      <w:szCs w:val="21"/>
                      <w:lang w:eastAsia="zh-CN"/>
                    </w:rPr>
                  </w:pPr>
                  <w:r>
                    <w:rPr>
                      <w:rFonts w:hint="eastAsia" w:cs="Times New Roman"/>
                      <w:sz w:val="21"/>
                      <w:szCs w:val="21"/>
                      <w:lang w:val="en-US" w:eastAsia="zh-CN"/>
                    </w:rPr>
                    <w:t>外购</w:t>
                  </w:r>
                </w:p>
              </w:tc>
            </w:tr>
            <w:tr w14:paraId="63B74E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3C55AA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12</w:t>
                  </w:r>
                </w:p>
              </w:tc>
              <w:tc>
                <w:tcPr>
                  <w:tcW w:w="322" w:type="pct"/>
                  <w:vMerge w:val="continue"/>
                  <w:tcBorders>
                    <w:tl2br w:val="nil"/>
                    <w:tr2bl w:val="nil"/>
                  </w:tcBorders>
                  <w:noWrap w:val="0"/>
                  <w:vAlign w:val="center"/>
                </w:tcPr>
                <w:p w14:paraId="615465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p>
              </w:tc>
              <w:tc>
                <w:tcPr>
                  <w:tcW w:w="515" w:type="pct"/>
                  <w:tcBorders>
                    <w:tl2br w:val="nil"/>
                    <w:tr2bl w:val="nil"/>
                  </w:tcBorders>
                  <w:noWrap w:val="0"/>
                  <w:vAlign w:val="center"/>
                </w:tcPr>
                <w:p w14:paraId="10572A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分子筛干燥剂</w:t>
                  </w:r>
                </w:p>
              </w:tc>
              <w:tc>
                <w:tcPr>
                  <w:tcW w:w="523" w:type="pct"/>
                  <w:tcBorders>
                    <w:tl2br w:val="nil"/>
                    <w:tr2bl w:val="nil"/>
                  </w:tcBorders>
                  <w:noWrap w:val="0"/>
                  <w:vAlign w:val="center"/>
                </w:tcPr>
                <w:p w14:paraId="09D1BDC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lang w:val="en-US" w:eastAsia="zh-CN"/>
                    </w:rPr>
                  </w:pPr>
                  <w:r>
                    <w:rPr>
                      <w:rFonts w:hint="eastAsia" w:cs="Times New Roman"/>
                      <w:kern w:val="2"/>
                      <w:sz w:val="21"/>
                      <w:szCs w:val="21"/>
                      <w:lang w:val="en-US" w:eastAsia="zh-CN"/>
                    </w:rPr>
                    <w:t>9.8</w:t>
                  </w:r>
                </w:p>
              </w:tc>
              <w:tc>
                <w:tcPr>
                  <w:tcW w:w="540" w:type="pct"/>
                  <w:tcBorders>
                    <w:tl2br w:val="nil"/>
                    <w:tr2bl w:val="nil"/>
                  </w:tcBorders>
                  <w:noWrap w:val="0"/>
                  <w:vAlign w:val="center"/>
                </w:tcPr>
                <w:p w14:paraId="19AA7DB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t/a</w:t>
                  </w:r>
                </w:p>
              </w:tc>
              <w:tc>
                <w:tcPr>
                  <w:tcW w:w="936" w:type="pct"/>
                  <w:tcBorders>
                    <w:tl2br w:val="nil"/>
                    <w:tr2bl w:val="nil"/>
                  </w:tcBorders>
                  <w:noWrap w:val="0"/>
                  <w:vAlign w:val="center"/>
                </w:tcPr>
                <w:p w14:paraId="0406FB1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25kg/袋</w:t>
                  </w:r>
                </w:p>
              </w:tc>
              <w:tc>
                <w:tcPr>
                  <w:tcW w:w="514" w:type="pct"/>
                  <w:tcBorders>
                    <w:tl2br w:val="nil"/>
                    <w:tr2bl w:val="nil"/>
                  </w:tcBorders>
                  <w:noWrap w:val="0"/>
                  <w:vAlign w:val="center"/>
                </w:tcPr>
                <w:p w14:paraId="503475A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lang w:val="en-US" w:eastAsia="zh-CN"/>
                    </w:rPr>
                  </w:pPr>
                  <w:r>
                    <w:rPr>
                      <w:rFonts w:hint="eastAsia" w:cs="Times New Roman"/>
                      <w:kern w:val="2"/>
                      <w:sz w:val="21"/>
                      <w:szCs w:val="21"/>
                      <w:lang w:val="en-US" w:eastAsia="zh-CN"/>
                    </w:rPr>
                    <w:t>3t</w:t>
                  </w:r>
                </w:p>
              </w:tc>
              <w:tc>
                <w:tcPr>
                  <w:tcW w:w="508" w:type="pct"/>
                  <w:tcBorders>
                    <w:tl2br w:val="nil"/>
                    <w:tr2bl w:val="nil"/>
                  </w:tcBorders>
                  <w:noWrap w:val="0"/>
                  <w:vAlign w:val="center"/>
                </w:tcPr>
                <w:p w14:paraId="0547DF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原料仓库</w:t>
                  </w:r>
                </w:p>
              </w:tc>
              <w:tc>
                <w:tcPr>
                  <w:tcW w:w="886" w:type="pct"/>
                  <w:tcBorders>
                    <w:tl2br w:val="nil"/>
                    <w:tr2bl w:val="nil"/>
                  </w:tcBorders>
                  <w:noWrap w:val="0"/>
                  <w:vAlign w:val="center"/>
                </w:tcPr>
                <w:p w14:paraId="5079C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外购</w:t>
                  </w:r>
                </w:p>
              </w:tc>
            </w:tr>
            <w:tr w14:paraId="601D70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1F95941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13</w:t>
                  </w:r>
                </w:p>
              </w:tc>
              <w:tc>
                <w:tcPr>
                  <w:tcW w:w="322" w:type="pct"/>
                  <w:vMerge w:val="restart"/>
                  <w:tcBorders>
                    <w:tl2br w:val="nil"/>
                    <w:tr2bl w:val="nil"/>
                  </w:tcBorders>
                  <w:noWrap w:val="0"/>
                  <w:vAlign w:val="center"/>
                </w:tcPr>
                <w:p w14:paraId="235C65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其他</w:t>
                  </w:r>
                </w:p>
              </w:tc>
              <w:tc>
                <w:tcPr>
                  <w:tcW w:w="515" w:type="pct"/>
                  <w:tcBorders>
                    <w:tl2br w:val="nil"/>
                    <w:tr2bl w:val="nil"/>
                  </w:tcBorders>
                  <w:noWrap w:val="0"/>
                  <w:vAlign w:val="center"/>
                </w:tcPr>
                <w:p w14:paraId="5F6315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机油</w:t>
                  </w:r>
                </w:p>
              </w:tc>
              <w:tc>
                <w:tcPr>
                  <w:tcW w:w="523" w:type="pct"/>
                  <w:tcBorders>
                    <w:tl2br w:val="nil"/>
                    <w:tr2bl w:val="nil"/>
                  </w:tcBorders>
                  <w:noWrap w:val="0"/>
                  <w:vAlign w:val="center"/>
                </w:tcPr>
                <w:p w14:paraId="490A7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highlight w:val="none"/>
                      <w:lang w:val="en-US" w:eastAsia="zh-CN"/>
                    </w:rPr>
                  </w:pPr>
                  <w:r>
                    <w:rPr>
                      <w:rFonts w:hint="eastAsia" w:cs="Times New Roman"/>
                      <w:kern w:val="2"/>
                      <w:sz w:val="21"/>
                      <w:szCs w:val="21"/>
                      <w:highlight w:val="none"/>
                      <w:lang w:val="en-US" w:eastAsia="zh-CN"/>
                    </w:rPr>
                    <w:t>0.2</w:t>
                  </w:r>
                </w:p>
              </w:tc>
              <w:tc>
                <w:tcPr>
                  <w:tcW w:w="540" w:type="pct"/>
                  <w:tcBorders>
                    <w:tl2br w:val="nil"/>
                    <w:tr2bl w:val="nil"/>
                  </w:tcBorders>
                  <w:noWrap w:val="0"/>
                  <w:vAlign w:val="center"/>
                </w:tcPr>
                <w:p w14:paraId="0764731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
                    </w:rPr>
                    <w:t>t/a</w:t>
                  </w:r>
                </w:p>
              </w:tc>
              <w:tc>
                <w:tcPr>
                  <w:tcW w:w="936" w:type="pct"/>
                  <w:tcBorders>
                    <w:tl2br w:val="nil"/>
                    <w:tr2bl w:val="nil"/>
                  </w:tcBorders>
                  <w:noWrap w:val="0"/>
                  <w:vAlign w:val="center"/>
                </w:tcPr>
                <w:p w14:paraId="01B1C23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
                    </w:rPr>
                    <w:t>/</w:t>
                  </w:r>
                </w:p>
              </w:tc>
              <w:tc>
                <w:tcPr>
                  <w:tcW w:w="514" w:type="pct"/>
                  <w:tcBorders>
                    <w:tl2br w:val="nil"/>
                    <w:tr2bl w:val="nil"/>
                  </w:tcBorders>
                  <w:noWrap w:val="0"/>
                  <w:vAlign w:val="center"/>
                </w:tcPr>
                <w:p w14:paraId="4B2BBA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highlight w:val="none"/>
                      <w:lang w:val="en-US" w:eastAsia="zh-CN"/>
                    </w:rPr>
                  </w:pPr>
                  <w:r>
                    <w:rPr>
                      <w:rFonts w:hint="eastAsia" w:cs="Times New Roman"/>
                      <w:kern w:val="2"/>
                      <w:sz w:val="21"/>
                      <w:szCs w:val="21"/>
                      <w:highlight w:val="none"/>
                      <w:lang w:val="en-US" w:eastAsia="zh-CN"/>
                    </w:rPr>
                    <w:t>0.2t</w:t>
                  </w:r>
                </w:p>
              </w:tc>
              <w:tc>
                <w:tcPr>
                  <w:tcW w:w="508" w:type="pct"/>
                  <w:tcBorders>
                    <w:tl2br w:val="nil"/>
                    <w:tr2bl w:val="nil"/>
                  </w:tcBorders>
                  <w:noWrap w:val="0"/>
                  <w:vAlign w:val="center"/>
                </w:tcPr>
                <w:p w14:paraId="096BFC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
                    </w:rPr>
                    <w:t>原料仓库</w:t>
                  </w:r>
                </w:p>
              </w:tc>
              <w:tc>
                <w:tcPr>
                  <w:tcW w:w="886" w:type="pct"/>
                  <w:tcBorders>
                    <w:tl2br w:val="nil"/>
                    <w:tr2bl w:val="nil"/>
                  </w:tcBorders>
                  <w:noWrap w:val="0"/>
                  <w:vAlign w:val="center"/>
                </w:tcPr>
                <w:p w14:paraId="4A41A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kern w:val="2"/>
                      <w:sz w:val="21"/>
                      <w:szCs w:val="21"/>
                      <w:lang w:val="en-US" w:eastAsia="zh-CN"/>
                    </w:rPr>
                  </w:pPr>
                  <w:r>
                    <w:rPr>
                      <w:rFonts w:hint="eastAsia" w:cs="Times New Roman"/>
                      <w:sz w:val="21"/>
                      <w:szCs w:val="21"/>
                      <w:lang w:val="en-US" w:eastAsia="zh-CN"/>
                    </w:rPr>
                    <w:t>外购</w:t>
                  </w:r>
                </w:p>
              </w:tc>
            </w:tr>
            <w:tr w14:paraId="6C828A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7" w:type="dxa"/>
                  <w:tcBorders>
                    <w:tl2br w:val="nil"/>
                    <w:tr2bl w:val="nil"/>
                  </w:tcBorders>
                  <w:noWrap w:val="0"/>
                  <w:vAlign w:val="center"/>
                </w:tcPr>
                <w:p w14:paraId="3B4E5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cs="Times New Roman"/>
                      <w:kern w:val="2"/>
                      <w:sz w:val="21"/>
                      <w:szCs w:val="21"/>
                      <w:lang w:val="en-US" w:eastAsia="zh-CN" w:bidi="ar"/>
                    </w:rPr>
                  </w:pPr>
                  <w:r>
                    <w:rPr>
                      <w:rFonts w:hint="eastAsia" w:cs="Times New Roman"/>
                      <w:kern w:val="2"/>
                      <w:sz w:val="21"/>
                      <w:szCs w:val="21"/>
                      <w:lang w:val="en-US" w:eastAsia="zh-CN" w:bidi="ar-SA"/>
                    </w:rPr>
                    <w:t>14</w:t>
                  </w:r>
                </w:p>
              </w:tc>
              <w:tc>
                <w:tcPr>
                  <w:tcW w:w="322" w:type="pct"/>
                  <w:vMerge w:val="continue"/>
                  <w:tcBorders>
                    <w:tl2br w:val="nil"/>
                    <w:tr2bl w:val="nil"/>
                  </w:tcBorders>
                  <w:noWrap w:val="0"/>
                  <w:vAlign w:val="center"/>
                </w:tcPr>
                <w:p w14:paraId="7A75B8F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
                    </w:rPr>
                  </w:pPr>
                </w:p>
              </w:tc>
              <w:tc>
                <w:tcPr>
                  <w:tcW w:w="515" w:type="pct"/>
                  <w:tcBorders>
                    <w:tl2br w:val="nil"/>
                    <w:tr2bl w:val="nil"/>
                  </w:tcBorders>
                  <w:noWrap w:val="0"/>
                  <w:vAlign w:val="center"/>
                </w:tcPr>
                <w:p w14:paraId="0738A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cs="Times New Roman"/>
                      <w:color w:val="auto"/>
                      <w:kern w:val="2"/>
                      <w:sz w:val="21"/>
                      <w:szCs w:val="21"/>
                      <w:highlight w:val="none"/>
                      <w:lang w:val="en-US" w:eastAsia="zh-CN"/>
                    </w:rPr>
                  </w:pPr>
                  <w:r>
                    <w:rPr>
                      <w:rFonts w:hint="eastAsia" w:cs="Times New Roman"/>
                      <w:color w:val="auto"/>
                      <w:kern w:val="2"/>
                      <w:sz w:val="21"/>
                      <w:szCs w:val="21"/>
                      <w:highlight w:val="none"/>
                      <w:lang w:val="en-US" w:eastAsia="zh-CN"/>
                    </w:rPr>
                    <w:t>活性炭</w:t>
                  </w:r>
                </w:p>
              </w:tc>
              <w:tc>
                <w:tcPr>
                  <w:tcW w:w="523" w:type="pct"/>
                  <w:tcBorders>
                    <w:tl2br w:val="nil"/>
                    <w:tr2bl w:val="nil"/>
                  </w:tcBorders>
                  <w:noWrap w:val="0"/>
                  <w:vAlign w:val="center"/>
                </w:tcPr>
                <w:p w14:paraId="1CF78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cs="Times New Roman"/>
                      <w:kern w:val="2"/>
                      <w:sz w:val="21"/>
                      <w:szCs w:val="21"/>
                      <w:highlight w:val="none"/>
                      <w:lang w:val="en-US" w:eastAsia="zh-CN"/>
                    </w:rPr>
                  </w:pPr>
                  <w:r>
                    <w:rPr>
                      <w:rFonts w:hint="eastAsia" w:cs="Times New Roman"/>
                      <w:kern w:val="2"/>
                      <w:sz w:val="21"/>
                      <w:szCs w:val="21"/>
                      <w:highlight w:val="none"/>
                      <w:lang w:val="en-US" w:eastAsia="zh-CN"/>
                    </w:rPr>
                    <w:t>3.6</w:t>
                  </w:r>
                </w:p>
              </w:tc>
              <w:tc>
                <w:tcPr>
                  <w:tcW w:w="540" w:type="pct"/>
                  <w:tcBorders>
                    <w:tl2br w:val="nil"/>
                    <w:tr2bl w:val="nil"/>
                  </w:tcBorders>
                  <w:noWrap w:val="0"/>
                  <w:vAlign w:val="center"/>
                </w:tcPr>
                <w:p w14:paraId="19EBB0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t/a</w:t>
                  </w:r>
                </w:p>
              </w:tc>
              <w:tc>
                <w:tcPr>
                  <w:tcW w:w="936" w:type="pct"/>
                  <w:tcBorders>
                    <w:tl2br w:val="nil"/>
                    <w:tr2bl w:val="nil"/>
                  </w:tcBorders>
                  <w:noWrap w:val="0"/>
                  <w:vAlign w:val="center"/>
                </w:tcPr>
                <w:p w14:paraId="201C12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
                    </w:rPr>
                  </w:pPr>
                  <w:r>
                    <w:rPr>
                      <w:rFonts w:hint="eastAsia" w:cs="Times New Roman"/>
                      <w:kern w:val="2"/>
                      <w:sz w:val="21"/>
                      <w:szCs w:val="21"/>
                      <w:highlight w:val="none"/>
                      <w:lang w:val="en-US" w:eastAsia="zh-CN" w:bidi="ar"/>
                    </w:rPr>
                    <w:t>/</w:t>
                  </w:r>
                </w:p>
              </w:tc>
              <w:tc>
                <w:tcPr>
                  <w:tcW w:w="514" w:type="pct"/>
                  <w:tcBorders>
                    <w:tl2br w:val="nil"/>
                    <w:tr2bl w:val="nil"/>
                  </w:tcBorders>
                  <w:noWrap w:val="0"/>
                  <w:vAlign w:val="center"/>
                </w:tcPr>
                <w:p w14:paraId="2F38483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cs="Times New Roman"/>
                      <w:kern w:val="2"/>
                      <w:sz w:val="21"/>
                      <w:szCs w:val="21"/>
                      <w:highlight w:val="none"/>
                      <w:lang w:val="en-US" w:eastAsia="zh-CN"/>
                    </w:rPr>
                  </w:pPr>
                  <w:r>
                    <w:rPr>
                      <w:rFonts w:hint="eastAsia" w:cs="Times New Roman"/>
                      <w:kern w:val="2"/>
                      <w:sz w:val="21"/>
                      <w:szCs w:val="21"/>
                      <w:highlight w:val="none"/>
                      <w:lang w:val="en-US" w:eastAsia="zh-CN"/>
                    </w:rPr>
                    <w:t>0.3t</w:t>
                  </w:r>
                </w:p>
              </w:tc>
              <w:tc>
                <w:tcPr>
                  <w:tcW w:w="923" w:type="dxa"/>
                  <w:tcBorders>
                    <w:tl2br w:val="nil"/>
                    <w:tr2bl w:val="nil"/>
                  </w:tcBorders>
                  <w:noWrap w:val="0"/>
                  <w:vAlign w:val="center"/>
                </w:tcPr>
                <w:p w14:paraId="75DD759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原料仓库</w:t>
                  </w:r>
                </w:p>
              </w:tc>
              <w:tc>
                <w:tcPr>
                  <w:tcW w:w="1609" w:type="dxa"/>
                  <w:tcBorders>
                    <w:tl2br w:val="nil"/>
                    <w:tr2bl w:val="nil"/>
                  </w:tcBorders>
                  <w:noWrap w:val="0"/>
                  <w:vAlign w:val="center"/>
                </w:tcPr>
                <w:p w14:paraId="153D05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cs="Times New Roman"/>
                      <w:sz w:val="21"/>
                      <w:szCs w:val="21"/>
                      <w:highlight w:val="red"/>
                      <w:lang w:val="en-US" w:eastAsia="zh-CN"/>
                    </w:rPr>
                  </w:pPr>
                  <w:r>
                    <w:rPr>
                      <w:rFonts w:hint="eastAsia" w:cs="Times New Roman"/>
                      <w:sz w:val="21"/>
                      <w:szCs w:val="21"/>
                      <w:lang w:val="en-US" w:eastAsia="zh-CN"/>
                    </w:rPr>
                    <w:t>外购</w:t>
                  </w:r>
                </w:p>
              </w:tc>
            </w:tr>
            <w:tr w14:paraId="0635C0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7" w:type="dxa"/>
                  <w:tcBorders>
                    <w:tl2br w:val="nil"/>
                    <w:tr2bl w:val="nil"/>
                  </w:tcBorders>
                  <w:noWrap w:val="0"/>
                  <w:vAlign w:val="center"/>
                </w:tcPr>
                <w:p w14:paraId="2F673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c>
                <w:tcPr>
                  <w:tcW w:w="322" w:type="pct"/>
                  <w:vMerge w:val="continue"/>
                  <w:tcBorders>
                    <w:tl2br w:val="nil"/>
                    <w:tr2bl w:val="nil"/>
                  </w:tcBorders>
                  <w:noWrap w:val="0"/>
                  <w:vAlign w:val="center"/>
                </w:tcPr>
                <w:p w14:paraId="05B2FA1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p>
              </w:tc>
              <w:tc>
                <w:tcPr>
                  <w:tcW w:w="515" w:type="pct"/>
                  <w:tcBorders>
                    <w:tl2br w:val="nil"/>
                    <w:tr2bl w:val="nil"/>
                  </w:tcBorders>
                  <w:noWrap w:val="0"/>
                  <w:vAlign w:val="center"/>
                </w:tcPr>
                <w:p w14:paraId="5A37C3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水</w:t>
                  </w:r>
                </w:p>
              </w:tc>
              <w:tc>
                <w:tcPr>
                  <w:tcW w:w="523" w:type="pct"/>
                  <w:tcBorders>
                    <w:tl2br w:val="nil"/>
                    <w:tr2bl w:val="nil"/>
                  </w:tcBorders>
                  <w:noWrap w:val="0"/>
                  <w:vAlign w:val="center"/>
                </w:tcPr>
                <w:p w14:paraId="638FB5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rPr>
                    <w:t>2497.5</w:t>
                  </w:r>
                </w:p>
              </w:tc>
              <w:tc>
                <w:tcPr>
                  <w:tcW w:w="540" w:type="pct"/>
                  <w:tcBorders>
                    <w:tl2br w:val="nil"/>
                    <w:tr2bl w:val="nil"/>
                  </w:tcBorders>
                  <w:noWrap w:val="0"/>
                  <w:vAlign w:val="center"/>
                </w:tcPr>
                <w:p w14:paraId="534B95E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m</w:t>
                  </w:r>
                  <w:r>
                    <w:rPr>
                      <w:rFonts w:hint="default" w:ascii="Times New Roman" w:hAnsi="Times New Roman" w:eastAsia="宋体" w:cs="Times New Roman"/>
                      <w:color w:val="auto"/>
                      <w:kern w:val="2"/>
                      <w:sz w:val="21"/>
                      <w:szCs w:val="21"/>
                      <w:highlight w:val="none"/>
                      <w:vertAlign w:val="superscript"/>
                      <w:lang w:val="en-US" w:eastAsia="zh-CN" w:bidi="ar"/>
                    </w:rPr>
                    <w:t>3</w:t>
                  </w:r>
                  <w:r>
                    <w:rPr>
                      <w:rFonts w:hint="default" w:ascii="Times New Roman" w:hAnsi="Times New Roman" w:eastAsia="宋体" w:cs="Times New Roman"/>
                      <w:color w:val="auto"/>
                      <w:kern w:val="2"/>
                      <w:sz w:val="21"/>
                      <w:szCs w:val="21"/>
                      <w:highlight w:val="none"/>
                      <w:lang w:val="en-US" w:eastAsia="zh-CN" w:bidi="ar"/>
                    </w:rPr>
                    <w:t>/a</w:t>
                  </w:r>
                </w:p>
              </w:tc>
              <w:tc>
                <w:tcPr>
                  <w:tcW w:w="936" w:type="pct"/>
                  <w:tcBorders>
                    <w:tl2br w:val="nil"/>
                    <w:tr2bl w:val="nil"/>
                  </w:tcBorders>
                  <w:noWrap w:val="0"/>
                  <w:vAlign w:val="center"/>
                </w:tcPr>
                <w:p w14:paraId="566431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514" w:type="pct"/>
                  <w:tcBorders>
                    <w:tl2br w:val="nil"/>
                    <w:tr2bl w:val="nil"/>
                  </w:tcBorders>
                  <w:noWrap w:val="0"/>
                  <w:vAlign w:val="center"/>
                </w:tcPr>
                <w:p w14:paraId="3950E7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508" w:type="pct"/>
                  <w:tcBorders>
                    <w:tl2br w:val="nil"/>
                    <w:tr2bl w:val="nil"/>
                  </w:tcBorders>
                  <w:noWrap w:val="0"/>
                  <w:vAlign w:val="center"/>
                </w:tcPr>
                <w:p w14:paraId="6C8391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886" w:type="pct"/>
                  <w:tcBorders>
                    <w:tl2br w:val="nil"/>
                    <w:tr2bl w:val="nil"/>
                  </w:tcBorders>
                  <w:noWrap w:val="0"/>
                  <w:vAlign w:val="center"/>
                </w:tcPr>
                <w:p w14:paraId="663457C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管网</w:t>
                  </w:r>
                </w:p>
              </w:tc>
            </w:tr>
            <w:tr w14:paraId="160B9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2" w:type="pct"/>
                  <w:tcBorders>
                    <w:tl2br w:val="nil"/>
                    <w:tr2bl w:val="nil"/>
                  </w:tcBorders>
                  <w:noWrap w:val="0"/>
                  <w:vAlign w:val="center"/>
                </w:tcPr>
                <w:p w14:paraId="7B2C8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322" w:type="pct"/>
                  <w:vMerge w:val="continue"/>
                  <w:tcBorders>
                    <w:tl2br w:val="nil"/>
                    <w:tr2bl w:val="nil"/>
                  </w:tcBorders>
                  <w:noWrap w:val="0"/>
                  <w:vAlign w:val="center"/>
                </w:tcPr>
                <w:p w14:paraId="29DA2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1"/>
                      <w:szCs w:val="21"/>
                    </w:rPr>
                  </w:pPr>
                </w:p>
              </w:tc>
              <w:tc>
                <w:tcPr>
                  <w:tcW w:w="515" w:type="pct"/>
                  <w:tcBorders>
                    <w:tl2br w:val="nil"/>
                    <w:tr2bl w:val="nil"/>
                  </w:tcBorders>
                  <w:noWrap w:val="0"/>
                  <w:vAlign w:val="center"/>
                </w:tcPr>
                <w:p w14:paraId="2DFAE6D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电力</w:t>
                  </w:r>
                </w:p>
              </w:tc>
              <w:tc>
                <w:tcPr>
                  <w:tcW w:w="523" w:type="pct"/>
                  <w:tcBorders>
                    <w:tl2br w:val="nil"/>
                    <w:tr2bl w:val="nil"/>
                  </w:tcBorders>
                  <w:noWrap w:val="0"/>
                  <w:vAlign w:val="center"/>
                </w:tcPr>
                <w:p w14:paraId="6CE73E7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rPr>
                  </w:pPr>
                  <w:r>
                    <w:rPr>
                      <w:rFonts w:hint="eastAsia" w:cs="Times New Roman"/>
                      <w:color w:val="auto"/>
                      <w:kern w:val="2"/>
                      <w:sz w:val="21"/>
                      <w:szCs w:val="21"/>
                      <w:highlight w:val="none"/>
                      <w:lang w:val="en-US" w:eastAsia="zh-CN" w:bidi="ar"/>
                    </w:rPr>
                    <w:t>150</w:t>
                  </w:r>
                </w:p>
              </w:tc>
              <w:tc>
                <w:tcPr>
                  <w:tcW w:w="540" w:type="pct"/>
                  <w:tcBorders>
                    <w:tl2br w:val="nil"/>
                    <w:tr2bl w:val="nil"/>
                  </w:tcBorders>
                  <w:noWrap w:val="0"/>
                  <w:vAlign w:val="center"/>
                </w:tcPr>
                <w:p w14:paraId="7912BA1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rPr>
                  </w:pPr>
                  <w:r>
                    <w:rPr>
                      <w:rFonts w:hint="eastAsia" w:cs="Times New Roman"/>
                      <w:color w:val="auto"/>
                      <w:kern w:val="2"/>
                      <w:sz w:val="21"/>
                      <w:szCs w:val="21"/>
                      <w:highlight w:val="none"/>
                      <w:lang w:val="en-US" w:eastAsia="zh-CN" w:bidi="ar"/>
                    </w:rPr>
                    <w:t>万</w:t>
                  </w:r>
                  <w:r>
                    <w:rPr>
                      <w:rFonts w:hint="default" w:ascii="Times New Roman" w:hAnsi="Times New Roman" w:eastAsia="宋体" w:cs="Times New Roman"/>
                      <w:color w:val="auto"/>
                      <w:kern w:val="2"/>
                      <w:sz w:val="21"/>
                      <w:szCs w:val="21"/>
                      <w:highlight w:val="none"/>
                      <w:lang w:val="en-US" w:eastAsia="zh-CN" w:bidi="ar"/>
                    </w:rPr>
                    <w:t>kwh/a</w:t>
                  </w:r>
                </w:p>
              </w:tc>
              <w:tc>
                <w:tcPr>
                  <w:tcW w:w="936" w:type="pct"/>
                  <w:tcBorders>
                    <w:tl2br w:val="nil"/>
                    <w:tr2bl w:val="nil"/>
                  </w:tcBorders>
                  <w:noWrap w:val="0"/>
                  <w:vAlign w:val="center"/>
                </w:tcPr>
                <w:p w14:paraId="5180A21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w:t>
                  </w:r>
                </w:p>
              </w:tc>
              <w:tc>
                <w:tcPr>
                  <w:tcW w:w="514" w:type="pct"/>
                  <w:tcBorders>
                    <w:tl2br w:val="nil"/>
                    <w:tr2bl w:val="nil"/>
                  </w:tcBorders>
                  <w:noWrap w:val="0"/>
                  <w:vAlign w:val="center"/>
                </w:tcPr>
                <w:p w14:paraId="18A09C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508" w:type="pct"/>
                  <w:tcBorders>
                    <w:tl2br w:val="nil"/>
                    <w:tr2bl w:val="nil"/>
                  </w:tcBorders>
                  <w:noWrap w:val="0"/>
                  <w:vAlign w:val="center"/>
                </w:tcPr>
                <w:p w14:paraId="6293B7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bidi="ar"/>
                    </w:rPr>
                    <w:t>/</w:t>
                  </w:r>
                </w:p>
              </w:tc>
              <w:tc>
                <w:tcPr>
                  <w:tcW w:w="886" w:type="pct"/>
                  <w:tcBorders>
                    <w:tl2br w:val="nil"/>
                    <w:tr2bl w:val="nil"/>
                  </w:tcBorders>
                  <w:noWrap w:val="0"/>
                  <w:vAlign w:val="center"/>
                </w:tcPr>
                <w:p w14:paraId="796EFBE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电网</w:t>
                  </w:r>
                </w:p>
              </w:tc>
            </w:tr>
          </w:tbl>
          <w:p w14:paraId="1D7046DB">
            <w:pPr>
              <w:keepNext w:val="0"/>
              <w:keepLines w:val="0"/>
              <w:widowControl/>
              <w:suppressLineNumbers w:val="0"/>
              <w:spacing w:line="360" w:lineRule="auto"/>
              <w:jc w:val="left"/>
              <w:rPr>
                <w:rFonts w:hint="default" w:ascii="Times New Roman" w:hAnsi="Times New Roman" w:eastAsia="宋体" w:cs="Times New Roman"/>
                <w:b/>
                <w:bCs/>
                <w:color w:val="auto"/>
                <w:kern w:val="0"/>
                <w:sz w:val="24"/>
                <w:szCs w:val="24"/>
              </w:rPr>
            </w:pPr>
            <w:r>
              <w:rPr>
                <w:rFonts w:hint="eastAsia" w:cs="Times New Roman"/>
                <w:b/>
                <w:bCs/>
                <w:color w:val="auto"/>
                <w:sz w:val="24"/>
                <w:szCs w:val="24"/>
                <w:lang w:val="en-US" w:eastAsia="zh-CN"/>
              </w:rPr>
              <w:t>6、</w:t>
            </w:r>
            <w:r>
              <w:rPr>
                <w:rFonts w:hint="default" w:ascii="Times New Roman" w:hAnsi="Times New Roman" w:cs="Times New Roman"/>
                <w:b/>
                <w:bCs/>
                <w:color w:val="auto"/>
                <w:kern w:val="0"/>
                <w:sz w:val="24"/>
                <w:szCs w:val="24"/>
              </w:rPr>
              <w:t>项目主要原辅材</w:t>
            </w:r>
            <w:r>
              <w:rPr>
                <w:rFonts w:hint="default" w:ascii="Times New Roman" w:hAnsi="Times New Roman" w:eastAsia="宋体" w:cs="Times New Roman"/>
                <w:b/>
                <w:bCs/>
                <w:color w:val="auto"/>
                <w:kern w:val="0"/>
                <w:sz w:val="24"/>
                <w:szCs w:val="24"/>
              </w:rPr>
              <w:t>料理化性质</w:t>
            </w:r>
          </w:p>
          <w:p w14:paraId="7FD4DD7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b/>
                <w:bCs/>
                <w:kern w:val="2"/>
                <w:sz w:val="21"/>
                <w:szCs w:val="21"/>
                <w:lang w:val="en-US" w:eastAsia="zh-CN" w:bidi="ar"/>
              </w:rPr>
            </w:pPr>
            <w:r>
              <w:rPr>
                <w:rFonts w:hint="eastAsia" w:ascii="Times New Roman" w:hAnsi="Times New Roman" w:eastAsia="宋体" w:cs="Times New Roman"/>
                <w:b/>
                <w:bCs/>
                <w:kern w:val="2"/>
                <w:sz w:val="21"/>
                <w:szCs w:val="21"/>
                <w:lang w:val="en-US" w:eastAsia="zh-CN" w:bidi="ar"/>
              </w:rPr>
              <w:t>表2-</w:t>
            </w:r>
            <w:r>
              <w:rPr>
                <w:rFonts w:hint="eastAsia" w:cs="Times New Roman"/>
                <w:b/>
                <w:bCs/>
                <w:kern w:val="2"/>
                <w:sz w:val="21"/>
                <w:szCs w:val="21"/>
                <w:lang w:val="en-US" w:eastAsia="zh-CN" w:bidi="ar"/>
              </w:rPr>
              <w:t>5</w:t>
            </w:r>
            <w:r>
              <w:rPr>
                <w:rFonts w:hint="eastAsia" w:ascii="Times New Roman" w:hAnsi="Times New Roman" w:eastAsia="宋体" w:cs="Times New Roman"/>
                <w:b/>
                <w:bCs/>
                <w:kern w:val="2"/>
                <w:sz w:val="21"/>
                <w:szCs w:val="21"/>
                <w:lang w:val="en-US" w:eastAsia="zh-CN" w:bidi="ar"/>
              </w:rPr>
              <w:t xml:space="preserve">  涉及物质主要理化性质及成分</w:t>
            </w:r>
          </w:p>
          <w:tbl>
            <w:tblPr>
              <w:tblStyle w:val="19"/>
              <w:tblW w:w="89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162"/>
              <w:gridCol w:w="4083"/>
              <w:gridCol w:w="1179"/>
              <w:gridCol w:w="885"/>
              <w:gridCol w:w="1669"/>
            </w:tblGrid>
            <w:tr w14:paraId="327CA3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62" w:type="dxa"/>
                  <w:tcBorders>
                    <w:tl2br w:val="nil"/>
                    <w:tr2bl w:val="nil"/>
                  </w:tcBorders>
                  <w:noWrap w:val="0"/>
                  <w:vAlign w:val="center"/>
                </w:tcPr>
                <w:p w14:paraId="43A2577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bidi="ar"/>
                    </w:rPr>
                    <w:t>物质名称</w:t>
                  </w:r>
                </w:p>
              </w:tc>
              <w:tc>
                <w:tcPr>
                  <w:tcW w:w="4083" w:type="dxa"/>
                  <w:tcBorders>
                    <w:tl2br w:val="nil"/>
                    <w:tr2bl w:val="nil"/>
                  </w:tcBorders>
                  <w:noWrap w:val="0"/>
                  <w:vAlign w:val="center"/>
                </w:tcPr>
                <w:p w14:paraId="3658E0D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bidi="ar"/>
                    </w:rPr>
                    <w:t>理化性质</w:t>
                  </w:r>
                </w:p>
              </w:tc>
              <w:tc>
                <w:tcPr>
                  <w:tcW w:w="1179" w:type="dxa"/>
                  <w:tcBorders>
                    <w:tl2br w:val="nil"/>
                    <w:tr2bl w:val="nil"/>
                  </w:tcBorders>
                  <w:noWrap w:val="0"/>
                  <w:vAlign w:val="center"/>
                </w:tcPr>
                <w:p w14:paraId="487E83B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bidi="ar"/>
                    </w:rPr>
                    <w:t>易燃易爆性</w:t>
                  </w:r>
                </w:p>
              </w:tc>
              <w:tc>
                <w:tcPr>
                  <w:tcW w:w="885" w:type="dxa"/>
                  <w:tcBorders>
                    <w:tl2br w:val="nil"/>
                    <w:tr2bl w:val="nil"/>
                  </w:tcBorders>
                  <w:noWrap w:val="0"/>
                  <w:vAlign w:val="center"/>
                </w:tcPr>
                <w:p w14:paraId="374A032E">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bidi="ar"/>
                    </w:rPr>
                    <w:t>毒性</w:t>
                  </w:r>
                </w:p>
              </w:tc>
              <w:tc>
                <w:tcPr>
                  <w:tcW w:w="1669" w:type="dxa"/>
                  <w:tcBorders>
                    <w:tl2br w:val="nil"/>
                    <w:tr2bl w:val="nil"/>
                  </w:tcBorders>
                  <w:noWrap w:val="0"/>
                  <w:vAlign w:val="center"/>
                </w:tcPr>
                <w:p w14:paraId="0B10AA8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b/>
                      <w:color w:val="auto"/>
                      <w:sz w:val="21"/>
                      <w:szCs w:val="21"/>
                      <w:lang w:bidi="ar"/>
                    </w:rPr>
                  </w:pPr>
                  <w:r>
                    <w:rPr>
                      <w:rFonts w:hint="default" w:ascii="Times New Roman" w:hAnsi="Times New Roman" w:cs="Times New Roman"/>
                      <w:b/>
                      <w:color w:val="auto"/>
                      <w:sz w:val="21"/>
                      <w:szCs w:val="21"/>
                      <w:lang w:bidi="ar"/>
                    </w:rPr>
                    <w:t>成分</w:t>
                  </w:r>
                </w:p>
              </w:tc>
            </w:tr>
            <w:tr w14:paraId="50D952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62" w:type="dxa"/>
                  <w:tcBorders>
                    <w:tl2br w:val="nil"/>
                    <w:tr2bl w:val="nil"/>
                  </w:tcBorders>
                  <w:noWrap w:val="0"/>
                  <w:vAlign w:val="center"/>
                </w:tcPr>
                <w:p w14:paraId="48FC427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bidi="ar"/>
                    </w:rPr>
                  </w:pPr>
                  <w:r>
                    <w:rPr>
                      <w:rFonts w:hint="default" w:ascii="Times New Roman" w:hAnsi="Times New Roman" w:eastAsia="宋体" w:cs="Times New Roman"/>
                      <w:color w:val="auto"/>
                      <w:sz w:val="21"/>
                      <w:szCs w:val="21"/>
                      <w:lang w:val="en-US" w:eastAsia="zh-CN"/>
                    </w:rPr>
                    <w:t>双组份硅酮密封胶</w:t>
                  </w:r>
                </w:p>
              </w:tc>
              <w:tc>
                <w:tcPr>
                  <w:tcW w:w="4083" w:type="dxa"/>
                  <w:tcBorders>
                    <w:tl2br w:val="nil"/>
                    <w:tr2bl w:val="nil"/>
                  </w:tcBorders>
                  <w:noWrap w:val="0"/>
                  <w:vAlign w:val="center"/>
                </w:tcPr>
                <w:p w14:paraId="0890220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left"/>
                    <w:textAlignment w:val="auto"/>
                    <w:rPr>
                      <w:rFonts w:hint="eastAsia" w:ascii="Times New Roman" w:hAnsi="Times New Roman" w:eastAsia="宋体" w:cs="Times New Roman"/>
                      <w:color w:val="auto"/>
                      <w:sz w:val="21"/>
                      <w:szCs w:val="21"/>
                      <w:lang w:eastAsia="zh-CN" w:bidi="ar"/>
                    </w:rPr>
                  </w:pPr>
                  <w:r>
                    <w:rPr>
                      <w:rFonts w:hint="default" w:ascii="Times New Roman" w:hAnsi="Times New Roman" w:eastAsia="宋体" w:cs="Times New Roman"/>
                      <w:color w:val="auto"/>
                      <w:sz w:val="21"/>
                      <w:szCs w:val="21"/>
                      <w:lang w:val="en-US" w:eastAsia="zh-CN"/>
                    </w:rPr>
                    <w:t>是一种新型防水密封材料，它的性能优越于其他密封胶，为双组份膏状物，两组分有明显的色差，便于混合均匀。A组分主要为聚甲基硅氧烷</w:t>
                  </w:r>
                  <w:r>
                    <w:rPr>
                      <w:rFonts w:hint="eastAsia" w:cs="Times New Roman"/>
                      <w:color w:val="auto"/>
                      <w:sz w:val="21"/>
                      <w:szCs w:val="21"/>
                      <w:lang w:val="en-US" w:eastAsia="zh-CN"/>
                    </w:rPr>
                    <w:t>、碳酸钙</w:t>
                  </w:r>
                  <w:r>
                    <w:rPr>
                      <w:rFonts w:hint="default" w:ascii="Times New Roman" w:hAnsi="Times New Roman" w:eastAsia="宋体" w:cs="Times New Roman"/>
                      <w:color w:val="auto"/>
                      <w:sz w:val="21"/>
                      <w:szCs w:val="21"/>
                      <w:lang w:val="en-US" w:eastAsia="zh-CN"/>
                    </w:rPr>
                    <w:t>等，B组分主要为硅酸乙酯等。使用比例为A</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B组分按质量比10:1</w:t>
                  </w:r>
                  <w:r>
                    <w:rPr>
                      <w:rFonts w:hint="eastAsia" w:cs="Times New Roman"/>
                      <w:color w:val="auto"/>
                      <w:sz w:val="21"/>
                      <w:szCs w:val="21"/>
                      <w:lang w:val="en-US" w:eastAsia="zh-CN"/>
                    </w:rPr>
                    <w:t>左右</w:t>
                  </w:r>
                  <w:r>
                    <w:rPr>
                      <w:rFonts w:hint="default" w:ascii="Times New Roman" w:hAnsi="Times New Roman" w:eastAsia="宋体" w:cs="Times New Roman"/>
                      <w:color w:val="auto"/>
                      <w:sz w:val="21"/>
                      <w:szCs w:val="21"/>
                      <w:lang w:val="en-US" w:eastAsia="zh-CN"/>
                    </w:rPr>
                    <w:t>混合均匀</w:t>
                  </w:r>
                  <w:r>
                    <w:rPr>
                      <w:rFonts w:hint="eastAsia" w:cs="Times New Roman"/>
                      <w:color w:val="auto"/>
                      <w:sz w:val="21"/>
                      <w:szCs w:val="21"/>
                      <w:lang w:val="en-US" w:eastAsia="zh-CN"/>
                    </w:rPr>
                    <w:t>。本项目所用硅酮胶为成都硅宝新材料有限公司生产的硅宝882中空玻璃硅酮密封胶，</w:t>
                  </w:r>
                  <w:r>
                    <w:rPr>
                      <w:rFonts w:hint="eastAsia" w:cs="Times New Roman"/>
                      <w:color w:val="auto"/>
                      <w:sz w:val="21"/>
                      <w:szCs w:val="21"/>
                      <w:lang w:eastAsia="zh-CN"/>
                    </w:rPr>
                    <w:t>根据中电投工程研究检测评定中心有限公司出具检测报告，硅酮胶热失重为</w:t>
                  </w:r>
                  <w:r>
                    <w:rPr>
                      <w:rFonts w:hint="eastAsia" w:cs="Times New Roman"/>
                      <w:color w:val="auto"/>
                      <w:sz w:val="21"/>
                      <w:szCs w:val="21"/>
                      <w:lang w:val="en-US" w:eastAsia="zh-CN"/>
                    </w:rPr>
                    <w:t>2.8%。</w:t>
                  </w:r>
                </w:p>
              </w:tc>
              <w:tc>
                <w:tcPr>
                  <w:tcW w:w="1179" w:type="dxa"/>
                  <w:tcBorders>
                    <w:tl2br w:val="nil"/>
                    <w:tr2bl w:val="nil"/>
                  </w:tcBorders>
                  <w:noWrap w:val="0"/>
                  <w:vAlign w:val="center"/>
                </w:tcPr>
                <w:p w14:paraId="4734825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bidi="ar"/>
                    </w:rPr>
                  </w:pPr>
                  <w:r>
                    <w:rPr>
                      <w:rFonts w:hint="eastAsia" w:cs="Times New Roman"/>
                      <w:color w:val="auto"/>
                      <w:sz w:val="21"/>
                      <w:szCs w:val="21"/>
                      <w:lang w:val="en-US" w:eastAsia="zh-CN" w:bidi="ar"/>
                    </w:rPr>
                    <w:t>/</w:t>
                  </w:r>
                </w:p>
              </w:tc>
              <w:tc>
                <w:tcPr>
                  <w:tcW w:w="885" w:type="dxa"/>
                  <w:tcBorders>
                    <w:tl2br w:val="nil"/>
                    <w:tr2bl w:val="nil"/>
                  </w:tcBorders>
                  <w:noWrap w:val="0"/>
                  <w:vAlign w:val="center"/>
                </w:tcPr>
                <w:p w14:paraId="0E655C0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bidi="ar"/>
                    </w:rPr>
                  </w:pPr>
                  <w:r>
                    <w:rPr>
                      <w:rFonts w:hint="eastAsia" w:cs="Times New Roman"/>
                      <w:color w:val="auto"/>
                      <w:sz w:val="21"/>
                      <w:szCs w:val="21"/>
                      <w:lang w:val="en-US" w:eastAsia="zh-CN" w:bidi="ar"/>
                    </w:rPr>
                    <w:t>/</w:t>
                  </w:r>
                </w:p>
              </w:tc>
              <w:tc>
                <w:tcPr>
                  <w:tcW w:w="1669" w:type="dxa"/>
                  <w:tcBorders>
                    <w:tl2br w:val="nil"/>
                    <w:tr2bl w:val="nil"/>
                  </w:tcBorders>
                  <w:noWrap w:val="0"/>
                  <w:vAlign w:val="center"/>
                </w:tcPr>
                <w:p w14:paraId="7F80FE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聚甲基硅氧烷</w:t>
                  </w:r>
                  <w:r>
                    <w:rPr>
                      <w:rFonts w:hint="eastAsia" w:cs="Times New Roman"/>
                      <w:color w:val="auto"/>
                      <w:sz w:val="21"/>
                      <w:szCs w:val="21"/>
                      <w:lang w:eastAsia="zh-CN"/>
                    </w:rPr>
                    <w:t>、</w:t>
                  </w:r>
                  <w:r>
                    <w:rPr>
                      <w:rFonts w:hint="eastAsia" w:cs="Times New Roman"/>
                      <w:color w:val="auto"/>
                      <w:sz w:val="21"/>
                      <w:szCs w:val="21"/>
                      <w:lang w:val="en-US" w:eastAsia="zh-CN"/>
                    </w:rPr>
                    <w:t>碳酸钙、</w:t>
                  </w:r>
                  <w:r>
                    <w:rPr>
                      <w:rFonts w:hint="default" w:ascii="Times New Roman" w:hAnsi="Times New Roman" w:eastAsia="宋体" w:cs="Times New Roman"/>
                      <w:color w:val="auto"/>
                      <w:sz w:val="21"/>
                      <w:szCs w:val="21"/>
                    </w:rPr>
                    <w:t>硅酸乙酯</w:t>
                  </w:r>
                  <w:r>
                    <w:rPr>
                      <w:rFonts w:hint="eastAsia" w:cs="Times New Roman"/>
                      <w:color w:val="auto"/>
                      <w:sz w:val="21"/>
                      <w:szCs w:val="21"/>
                      <w:lang w:eastAsia="zh-CN"/>
                    </w:rPr>
                    <w:t>等</w:t>
                  </w:r>
                </w:p>
              </w:tc>
            </w:tr>
            <w:tr w14:paraId="35408B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62" w:type="dxa"/>
                  <w:tcBorders>
                    <w:tl2br w:val="nil"/>
                    <w:tr2bl w:val="nil"/>
                  </w:tcBorders>
                  <w:noWrap w:val="0"/>
                  <w:vAlign w:val="center"/>
                </w:tcPr>
                <w:p w14:paraId="502AF1B3">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丁基胶</w:t>
                  </w:r>
                </w:p>
              </w:tc>
              <w:tc>
                <w:tcPr>
                  <w:tcW w:w="4083" w:type="dxa"/>
                  <w:tcBorders>
                    <w:tl2br w:val="nil"/>
                    <w:tr2bl w:val="nil"/>
                  </w:tcBorders>
                  <w:noWrap w:val="0"/>
                  <w:vAlign w:val="center"/>
                </w:tcPr>
                <w:p w14:paraId="3A23FC6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left"/>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丁基胶是异丁烯和戊二烯的共聚物，最大特点是气密性好。它还能耐热、耐臭氧、耐老化、耐化学药品，并有吸震电绝缘性能。</w:t>
                  </w:r>
                  <w:r>
                    <w:rPr>
                      <w:rFonts w:hint="eastAsia" w:cs="Times New Roman"/>
                      <w:color w:val="auto"/>
                      <w:sz w:val="21"/>
                      <w:szCs w:val="21"/>
                      <w:lang w:val="en-US" w:eastAsia="zh-CN"/>
                    </w:rPr>
                    <w:t>本项目所用丁基胶由北京市华丽建材装饰有限公司供货，根据中国国检测试控股集团股份有限公司国家建筑材料测试中心出具检测报告，丁基胶热失重为0.65%。</w:t>
                  </w:r>
                </w:p>
              </w:tc>
              <w:tc>
                <w:tcPr>
                  <w:tcW w:w="1179" w:type="dxa"/>
                  <w:tcBorders>
                    <w:tl2br w:val="nil"/>
                    <w:tr2bl w:val="nil"/>
                  </w:tcBorders>
                  <w:noWrap w:val="0"/>
                  <w:vAlign w:val="center"/>
                </w:tcPr>
                <w:p w14:paraId="10A4C382">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bidi="ar"/>
                    </w:rPr>
                  </w:pPr>
                  <w:r>
                    <w:rPr>
                      <w:rFonts w:hint="eastAsia" w:cs="Times New Roman"/>
                      <w:color w:val="auto"/>
                      <w:sz w:val="21"/>
                      <w:szCs w:val="21"/>
                      <w:lang w:val="en-US" w:eastAsia="zh-CN" w:bidi="ar"/>
                    </w:rPr>
                    <w:t>/</w:t>
                  </w:r>
                </w:p>
              </w:tc>
              <w:tc>
                <w:tcPr>
                  <w:tcW w:w="885" w:type="dxa"/>
                  <w:tcBorders>
                    <w:tl2br w:val="nil"/>
                    <w:tr2bl w:val="nil"/>
                  </w:tcBorders>
                  <w:noWrap w:val="0"/>
                  <w:vAlign w:val="center"/>
                </w:tcPr>
                <w:p w14:paraId="3893AA09">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bidi="ar"/>
                    </w:rPr>
                    <w:t>/</w:t>
                  </w:r>
                </w:p>
              </w:tc>
              <w:tc>
                <w:tcPr>
                  <w:tcW w:w="1669" w:type="dxa"/>
                  <w:tcBorders>
                    <w:tl2br w:val="nil"/>
                    <w:tr2bl w:val="nil"/>
                  </w:tcBorders>
                  <w:noWrap w:val="0"/>
                  <w:vAlign w:val="center"/>
                </w:tcPr>
                <w:p w14:paraId="1A9B6F64">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异丁烯和戊二烯</w:t>
                  </w:r>
                  <w:r>
                    <w:rPr>
                      <w:rFonts w:hint="eastAsia" w:ascii="Times New Roman" w:hAnsi="Times New Roman" w:eastAsia="宋体" w:cs="Times New Roman"/>
                      <w:color w:val="auto"/>
                      <w:sz w:val="21"/>
                      <w:szCs w:val="21"/>
                      <w:lang w:val="en-US" w:eastAsia="zh-CN"/>
                    </w:rPr>
                    <w:t>等</w:t>
                  </w:r>
                </w:p>
              </w:tc>
            </w:tr>
            <w:tr w14:paraId="6B7F67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62" w:type="dxa"/>
                  <w:tcBorders>
                    <w:tl2br w:val="nil"/>
                    <w:tr2bl w:val="nil"/>
                  </w:tcBorders>
                  <w:noWrap w:val="0"/>
                  <w:vAlign w:val="center"/>
                </w:tcPr>
                <w:p w14:paraId="724993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分子筛干燥剂</w:t>
                  </w:r>
                </w:p>
              </w:tc>
              <w:tc>
                <w:tcPr>
                  <w:tcW w:w="4083" w:type="dxa"/>
                  <w:tcBorders>
                    <w:tl2br w:val="nil"/>
                    <w:tr2bl w:val="nil"/>
                  </w:tcBorders>
                  <w:noWrap w:val="0"/>
                  <w:vAlign w:val="center"/>
                </w:tcPr>
                <w:p w14:paraId="2FA5FB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left"/>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000000"/>
                      <w:kern w:val="0"/>
                      <w:sz w:val="20"/>
                      <w:szCs w:val="20"/>
                      <w:lang w:val="en-US" w:eastAsia="zh-CN" w:bidi="ar"/>
                    </w:rPr>
                    <w:t>一种</w:t>
                  </w:r>
                  <w:r>
                    <w:rPr>
                      <w:rFonts w:hint="eastAsia" w:ascii="Times New Roman" w:hAnsi="Times New Roman" w:eastAsia="宋体" w:cs="Times New Roman"/>
                      <w:color w:val="auto"/>
                      <w:sz w:val="21"/>
                      <w:szCs w:val="21"/>
                      <w:lang w:val="en-US" w:eastAsia="zh-CN"/>
                    </w:rPr>
                    <w:t>结晶态的铝硅酸盐矿物球粒，可以同时吸附中空玻璃中的水分和残留有机物，使中空玻璃在很低温度下仍保持光洁透明，同时降低因季节和昼夜温差变化造成的内外压差。</w:t>
                  </w:r>
                </w:p>
              </w:tc>
              <w:tc>
                <w:tcPr>
                  <w:tcW w:w="1179" w:type="dxa"/>
                  <w:tcBorders>
                    <w:tl2br w:val="nil"/>
                    <w:tr2bl w:val="nil"/>
                  </w:tcBorders>
                  <w:noWrap w:val="0"/>
                  <w:vAlign w:val="center"/>
                </w:tcPr>
                <w:p w14:paraId="2335CDE1">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bidi="ar"/>
                    </w:rPr>
                  </w:pPr>
                  <w:r>
                    <w:rPr>
                      <w:rFonts w:hint="eastAsia" w:cs="Times New Roman"/>
                      <w:color w:val="auto"/>
                      <w:sz w:val="21"/>
                      <w:szCs w:val="21"/>
                      <w:lang w:val="en-US" w:eastAsia="zh-CN" w:bidi="ar"/>
                    </w:rPr>
                    <w:t>/</w:t>
                  </w:r>
                </w:p>
              </w:tc>
              <w:tc>
                <w:tcPr>
                  <w:tcW w:w="885" w:type="dxa"/>
                  <w:tcBorders>
                    <w:tl2br w:val="nil"/>
                    <w:tr2bl w:val="nil"/>
                  </w:tcBorders>
                  <w:noWrap w:val="0"/>
                  <w:vAlign w:val="center"/>
                </w:tcPr>
                <w:p w14:paraId="5E67825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无毒</w:t>
                  </w:r>
                </w:p>
              </w:tc>
              <w:tc>
                <w:tcPr>
                  <w:tcW w:w="1669" w:type="dxa"/>
                  <w:tcBorders>
                    <w:tl2br w:val="nil"/>
                    <w:tr2bl w:val="nil"/>
                  </w:tcBorders>
                  <w:noWrap w:val="0"/>
                  <w:vAlign w:val="center"/>
                </w:tcPr>
                <w:p w14:paraId="40378DF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硅酸盐或硅铝酸盐</w:t>
                  </w:r>
                </w:p>
              </w:tc>
            </w:tr>
            <w:tr w14:paraId="3112B7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62" w:type="dxa"/>
                  <w:tcBorders>
                    <w:tl2br w:val="nil"/>
                    <w:tr2bl w:val="nil"/>
                  </w:tcBorders>
                  <w:noWrap w:val="0"/>
                  <w:vAlign w:val="center"/>
                </w:tcPr>
                <w:p w14:paraId="0BC8F998">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机油</w:t>
                  </w:r>
                </w:p>
              </w:tc>
              <w:tc>
                <w:tcPr>
                  <w:tcW w:w="4083" w:type="dxa"/>
                  <w:tcBorders>
                    <w:tl2br w:val="nil"/>
                    <w:tr2bl w:val="nil"/>
                  </w:tcBorders>
                  <w:noWrap w:val="0"/>
                  <w:vAlign w:val="center"/>
                </w:tcPr>
                <w:p w14:paraId="02F1146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tLeast"/>
                    <w:ind w:left="0" w:leftChars="0" w:right="0" w:righ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密度约为0.91×103kg/m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，在液压系统中起着能量传递、抗磨、系统润滑、防腐、防锈、冷却等作用。属于润滑油的一种，</w:t>
                  </w:r>
                  <w:r>
                    <w:rPr>
                      <w:rFonts w:hint="eastAsia" w:cs="Times New Roman"/>
                      <w:color w:val="auto"/>
                      <w:sz w:val="21"/>
                      <w:szCs w:val="21"/>
                      <w:lang w:eastAsia="zh-CN"/>
                    </w:rPr>
                    <w:t>机油</w:t>
                  </w:r>
                  <w:r>
                    <w:rPr>
                      <w:rFonts w:hint="default" w:ascii="Times New Roman" w:hAnsi="Times New Roman" w:eastAsia="宋体" w:cs="Times New Roman"/>
                      <w:color w:val="auto"/>
                      <w:sz w:val="21"/>
                      <w:szCs w:val="21"/>
                    </w:rPr>
                    <w:t>其基础油是由烃类、聚-α-烯烃（PAO）及聚内烯烃（PIO）等成分所组成，均为只由碳及氢所组成的有机化合物，有些高级的机油中会包括20%以下的酯类。相对密度（水=1）0.88，闪电大于200℃，溶于乙醇、苯、乙醚等多数有机溶剂。</w:t>
                  </w:r>
                </w:p>
              </w:tc>
              <w:tc>
                <w:tcPr>
                  <w:tcW w:w="1179" w:type="dxa"/>
                  <w:tcBorders>
                    <w:tl2br w:val="nil"/>
                    <w:tr2bl w:val="nil"/>
                  </w:tcBorders>
                  <w:noWrap w:val="0"/>
                  <w:vAlign w:val="center"/>
                </w:tcPr>
                <w:p w14:paraId="10B3EF9A">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bidi="ar"/>
                    </w:rPr>
                  </w:pPr>
                  <w:r>
                    <w:rPr>
                      <w:rFonts w:hint="eastAsia" w:cs="Times New Roman"/>
                      <w:color w:val="auto"/>
                      <w:sz w:val="21"/>
                      <w:szCs w:val="21"/>
                      <w:lang w:val="en-US" w:eastAsia="zh-CN" w:bidi="ar"/>
                    </w:rPr>
                    <w:t>易燃</w:t>
                  </w:r>
                </w:p>
              </w:tc>
              <w:tc>
                <w:tcPr>
                  <w:tcW w:w="885" w:type="dxa"/>
                  <w:tcBorders>
                    <w:tl2br w:val="nil"/>
                    <w:tr2bl w:val="nil"/>
                  </w:tcBorders>
                  <w:noWrap w:val="0"/>
                  <w:vAlign w:val="center"/>
                </w:tcPr>
                <w:p w14:paraId="584131BD">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1669" w:type="dxa"/>
                  <w:tcBorders>
                    <w:tl2br w:val="nil"/>
                    <w:tr2bl w:val="nil"/>
                  </w:tcBorders>
                  <w:noWrap w:val="0"/>
                  <w:vAlign w:val="center"/>
                </w:tcPr>
                <w:p w14:paraId="5DFFF66B">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atLeast"/>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矿物油</w:t>
                  </w:r>
                </w:p>
              </w:tc>
            </w:tr>
          </w:tbl>
          <w:p w14:paraId="2F4F9A3B">
            <w:pPr>
              <w:keepNext w:val="0"/>
              <w:keepLines w:val="0"/>
              <w:widowControl/>
              <w:suppressLineNumbers w:val="0"/>
              <w:spacing w:line="360" w:lineRule="auto"/>
              <w:jc w:val="left"/>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、公用工程</w:t>
            </w:r>
          </w:p>
          <w:p w14:paraId="0DB4663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00" w:lineRule="exact"/>
              <w:ind w:left="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（1）供排水</w:t>
            </w:r>
          </w:p>
          <w:p w14:paraId="5D3F052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500" w:lineRule="exact"/>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default" w:ascii="Times New Roman" w:hAnsi="Times New Roman" w:eastAsia="宋体" w:cs="Times New Roman"/>
                <w:color w:val="auto"/>
                <w:kern w:val="2"/>
                <w:sz w:val="24"/>
                <w:szCs w:val="24"/>
                <w:lang w:val="en-US" w:eastAsia="zh-CN" w:bidi="ar"/>
              </w:rPr>
              <w:t>本项目在生产运营过程中用水主要为生活用水</w:t>
            </w:r>
            <w:r>
              <w:rPr>
                <w:rFonts w:hint="eastAsia" w:ascii="Times New Roman" w:hAnsi="Times New Roman" w:eastAsia="宋体" w:cs="Times New Roman"/>
                <w:color w:val="auto"/>
                <w:kern w:val="2"/>
                <w:sz w:val="24"/>
                <w:szCs w:val="24"/>
                <w:lang w:val="en-US" w:eastAsia="zh-CN" w:bidi="ar"/>
              </w:rPr>
              <w:t>、打磨用水、清洗用水</w:t>
            </w:r>
            <w:r>
              <w:rPr>
                <w:rFonts w:hint="eastAsia" w:cs="Times New Roman"/>
                <w:color w:val="auto"/>
                <w:kern w:val="2"/>
                <w:sz w:val="24"/>
                <w:szCs w:val="24"/>
                <w:lang w:val="en-US" w:eastAsia="zh-CN" w:bidi="ar"/>
              </w:rPr>
              <w:t>。</w:t>
            </w:r>
          </w:p>
          <w:p w14:paraId="766499BC">
            <w:pPr>
              <w:tabs>
                <w:tab w:val="left" w:pos="5610"/>
              </w:tabs>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eastAsia" w:ascii="宋体" w:hAnsi="宋体" w:eastAsia="宋体" w:cs="宋体"/>
                <w:bCs/>
                <w:color w:val="auto"/>
                <w:sz w:val="24"/>
                <w:szCs w:val="24"/>
                <w:lang w:val="en-US" w:eastAsia="zh-CN"/>
              </w:rPr>
              <w:t>①</w:t>
            </w:r>
            <w:r>
              <w:rPr>
                <w:rFonts w:hint="default" w:ascii="Times New Roman" w:hAnsi="Times New Roman" w:eastAsia="宋体" w:cs="Times New Roman"/>
                <w:bCs/>
                <w:color w:val="auto"/>
                <w:sz w:val="24"/>
                <w:szCs w:val="24"/>
                <w:lang w:val="en-US" w:eastAsia="zh-CN"/>
              </w:rPr>
              <w:t>员工生活用水</w:t>
            </w:r>
          </w:p>
          <w:p w14:paraId="151D1B68">
            <w:pPr>
              <w:tabs>
                <w:tab w:val="left" w:pos="5610"/>
              </w:tabs>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本项目职工人数共</w:t>
            </w:r>
            <w:r>
              <w:rPr>
                <w:rFonts w:hint="eastAsia" w:cs="Times New Roman"/>
                <w:bCs/>
                <w:color w:val="auto"/>
                <w:sz w:val="24"/>
                <w:szCs w:val="24"/>
                <w:lang w:val="en-US" w:eastAsia="zh-CN"/>
              </w:rPr>
              <w:t>15</w:t>
            </w:r>
            <w:r>
              <w:rPr>
                <w:rFonts w:hint="default" w:ascii="Times New Roman" w:hAnsi="Times New Roman" w:cs="Times New Roman"/>
                <w:bCs/>
                <w:color w:val="auto"/>
                <w:sz w:val="24"/>
                <w:szCs w:val="24"/>
              </w:rPr>
              <w:t>人，</w:t>
            </w:r>
            <w:r>
              <w:rPr>
                <w:rFonts w:hint="default" w:ascii="Times New Roman" w:hAnsi="Times New Roman" w:eastAsia="宋体" w:cs="Times New Roman"/>
                <w:color w:val="auto"/>
                <w:sz w:val="24"/>
                <w:szCs w:val="24"/>
                <w:highlight w:val="none"/>
                <w:lang w:eastAsia="zh-CN"/>
              </w:rPr>
              <w:t>年生产天数为300天，</w:t>
            </w:r>
            <w:r>
              <w:rPr>
                <w:rFonts w:hint="eastAsia" w:cs="Times New Roman"/>
                <w:color w:val="auto"/>
                <w:sz w:val="24"/>
                <w:szCs w:val="24"/>
                <w:highlight w:val="none"/>
                <w:lang w:eastAsia="zh-CN"/>
              </w:rPr>
              <w:t>厂区内不设置食堂及住宿淋浴设施</w:t>
            </w:r>
            <w:r>
              <w:rPr>
                <w:rFonts w:hint="default" w:ascii="Times New Roman" w:hAnsi="Times New Roman" w:eastAsia="宋体" w:cs="Times New Roman"/>
                <w:color w:val="auto"/>
                <w:sz w:val="24"/>
                <w:szCs w:val="24"/>
                <w:highlight w:val="none"/>
                <w:lang w:eastAsia="zh-CN"/>
              </w:rPr>
              <w:t>。生活用水根据《</w:t>
            </w:r>
            <w:r>
              <w:rPr>
                <w:rFonts w:hint="eastAsia" w:cs="Times New Roman"/>
                <w:color w:val="auto"/>
                <w:sz w:val="24"/>
                <w:szCs w:val="24"/>
                <w:highlight w:val="none"/>
                <w:lang w:eastAsia="zh-CN"/>
              </w:rPr>
              <w:t>辽宁省</w:t>
            </w:r>
            <w:r>
              <w:rPr>
                <w:rFonts w:hint="default" w:ascii="Times New Roman" w:hAnsi="Times New Roman" w:eastAsia="宋体" w:cs="Times New Roman"/>
                <w:color w:val="auto"/>
                <w:sz w:val="24"/>
                <w:szCs w:val="24"/>
                <w:highlight w:val="none"/>
                <w:lang w:eastAsia="zh-CN"/>
              </w:rPr>
              <w:t>行业用水定额》（DB</w:t>
            </w:r>
            <w:r>
              <w:rPr>
                <w:rFonts w:hint="eastAsia"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/T</w:t>
            </w:r>
            <w:r>
              <w:rPr>
                <w:rFonts w:hint="eastAsia" w:cs="Times New Roman"/>
                <w:color w:val="auto"/>
                <w:sz w:val="24"/>
                <w:szCs w:val="24"/>
                <w:highlight w:val="none"/>
                <w:lang w:val="en-US" w:eastAsia="zh-CN"/>
              </w:rPr>
              <w:t xml:space="preserve"> 1237-2020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员工用水量以</w:t>
            </w:r>
            <w:r>
              <w:rPr>
                <w:rFonts w:hint="eastAsia"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L/d•人计，</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lang w:eastAsia="zh-CN"/>
              </w:rPr>
              <w:t>生活用水量</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1.125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337.5</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/a，按照排放系数80%计算，则生活污水产生量</w:t>
            </w:r>
            <w:r>
              <w:rPr>
                <w:rFonts w:hint="eastAsia" w:cs="Times New Roman"/>
                <w:color w:val="auto"/>
                <w:sz w:val="24"/>
                <w:szCs w:val="24"/>
                <w:lang w:val="en-US" w:eastAsia="zh-CN"/>
              </w:rPr>
              <w:t>0.9</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270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p>
          <w:p w14:paraId="1A35B13A">
            <w:pPr>
              <w:tabs>
                <w:tab w:val="left" w:pos="5610"/>
              </w:tabs>
              <w:spacing w:line="360" w:lineRule="auto"/>
              <w:ind w:firstLine="480" w:firstLineChars="200"/>
              <w:rPr>
                <w:rFonts w:hint="eastAsia" w:ascii="Times New Roman" w:hAnsi="Times New Roman" w:eastAsia="宋体" w:cs="Times New Roman"/>
                <w:color w:val="auto"/>
                <w:kern w:val="2"/>
                <w:sz w:val="24"/>
                <w:szCs w:val="24"/>
                <w:lang w:val="en-US" w:eastAsia="zh-CN" w:bidi="ar"/>
              </w:rPr>
            </w:pPr>
            <w:r>
              <w:rPr>
                <w:rFonts w:hint="eastAsia" w:ascii="宋体" w:hAnsi="宋体" w:eastAsia="宋体" w:cs="宋体"/>
                <w:bCs/>
                <w:color w:val="auto"/>
                <w:sz w:val="24"/>
                <w:szCs w:val="24"/>
                <w:lang w:val="en-US" w:eastAsia="zh-CN"/>
              </w:rPr>
              <w:t>②</w:t>
            </w:r>
            <w:r>
              <w:rPr>
                <w:rFonts w:hint="eastAsia" w:ascii="Times New Roman" w:hAnsi="Times New Roman" w:eastAsia="宋体" w:cs="Times New Roman"/>
                <w:color w:val="auto"/>
                <w:kern w:val="2"/>
                <w:sz w:val="24"/>
                <w:szCs w:val="24"/>
                <w:lang w:val="en-US" w:eastAsia="zh-CN" w:bidi="ar"/>
              </w:rPr>
              <w:t>打磨用水</w:t>
            </w:r>
          </w:p>
          <w:p w14:paraId="7496BDFE">
            <w:pPr>
              <w:tabs>
                <w:tab w:val="left" w:pos="5610"/>
              </w:tabs>
              <w:spacing w:line="360" w:lineRule="auto"/>
              <w:ind w:firstLine="480" w:firstLineChars="200"/>
              <w:rPr>
                <w:rFonts w:hint="default" w:eastAsia="宋体"/>
                <w:color w:val="000000"/>
                <w:sz w:val="24"/>
                <w:lang w:val="en-US" w:eastAsia="zh-CN"/>
              </w:rPr>
            </w:pPr>
            <w:r>
              <w:rPr>
                <w:rFonts w:hint="default" w:ascii="Times New Roman" w:hAnsi="Times New Roman" w:eastAsia="宋体" w:cs="Times New Roman"/>
                <w:kern w:val="2"/>
                <w:sz w:val="24"/>
                <w:szCs w:val="24"/>
                <w:lang w:val="en-US" w:eastAsia="zh-CN" w:bidi="ar"/>
              </w:rPr>
              <w:t>项目</w:t>
            </w:r>
            <w:r>
              <w:rPr>
                <w:rFonts w:hint="eastAsia" w:cs="Times New Roman"/>
                <w:kern w:val="2"/>
                <w:sz w:val="24"/>
                <w:szCs w:val="24"/>
                <w:lang w:val="en-US" w:eastAsia="zh-CN" w:bidi="ar"/>
              </w:rPr>
              <w:t>设置打磨</w:t>
            </w:r>
            <w:r>
              <w:rPr>
                <w:rFonts w:hint="default" w:ascii="Times New Roman" w:hAnsi="Times New Roman" w:cs="Times New Roman"/>
                <w:kern w:val="2"/>
                <w:sz w:val="24"/>
                <w:szCs w:val="24"/>
                <w:lang w:val="en-US" w:eastAsia="zh-CN" w:bidi="ar"/>
              </w:rPr>
              <w:t>机1台</w:t>
            </w:r>
            <w:r>
              <w:rPr>
                <w:rFonts w:hint="default"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打磨废水经压滤机处理后循环利用，不外排。机器用水量约1</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h，日用水量</w:t>
            </w:r>
            <w:r>
              <w:rPr>
                <w:rFonts w:hint="eastAsia" w:cs="Times New Roman"/>
                <w:color w:val="auto"/>
                <w:sz w:val="24"/>
                <w:szCs w:val="24"/>
                <w:lang w:val="en-US" w:eastAsia="zh-CN"/>
              </w:rPr>
              <w:t>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损耗系数按</w:t>
            </w:r>
            <w:r>
              <w:rPr>
                <w:rFonts w:hint="eastAsia" w:cs="Times New Roman"/>
                <w:color w:val="auto"/>
                <w:sz w:val="24"/>
                <w:szCs w:val="24"/>
                <w:lang w:val="en-US" w:eastAsia="zh-CN"/>
              </w:rPr>
              <w:t>1</w:t>
            </w:r>
            <w:r>
              <w:rPr>
                <w:rFonts w:hint="eastAsia" w:ascii="Times New Roman" w:hAnsi="Times New Roman" w:cs="Times New Roman"/>
                <w:color w:val="auto"/>
                <w:sz w:val="24"/>
                <w:szCs w:val="24"/>
                <w:lang w:val="en-US" w:eastAsia="zh-CN"/>
              </w:rPr>
              <w:t>0%计，机器补水量约</w:t>
            </w:r>
            <w:r>
              <w:rPr>
                <w:rFonts w:hint="eastAsia" w:cs="Times New Roman"/>
                <w:kern w:val="2"/>
                <w:sz w:val="24"/>
                <w:szCs w:val="24"/>
                <w:lang w:val="en-US" w:eastAsia="zh-CN" w:bidi="ar"/>
              </w:rPr>
              <w:t>0.1</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h，0.</w:t>
            </w:r>
            <w:r>
              <w:rPr>
                <w:rFonts w:hint="eastAsia" w:cs="Times New Roman"/>
                <w:color w:val="auto"/>
                <w:sz w:val="24"/>
                <w:szCs w:val="24"/>
                <w:lang w:val="en-US" w:eastAsia="zh-CN"/>
              </w:rPr>
              <w:t>8</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ascii="Times New Roman" w:hAnsi="Times New Roman" w:cs="Times New Roman"/>
                <w:color w:val="auto"/>
                <w:sz w:val="24"/>
                <w:szCs w:val="24"/>
                <w:lang w:eastAsia="zh-CN"/>
              </w:rPr>
              <w:t>，</w:t>
            </w:r>
            <w:r>
              <w:rPr>
                <w:rFonts w:hint="eastAsia" w:cs="Times New Roman"/>
                <w:kern w:val="2"/>
                <w:sz w:val="24"/>
                <w:szCs w:val="24"/>
                <w:lang w:val="en-US" w:eastAsia="zh-CN" w:bidi="ar"/>
              </w:rPr>
              <w:t>240</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a</w:t>
            </w:r>
            <w:r>
              <w:rPr>
                <w:rFonts w:hint="eastAsia" w:cs="Times New Roman"/>
                <w:kern w:val="2"/>
                <w:sz w:val="24"/>
                <w:szCs w:val="24"/>
                <w:lang w:val="en-US" w:eastAsia="zh-CN" w:bidi="ar"/>
              </w:rPr>
              <w:t>。</w:t>
            </w:r>
          </w:p>
          <w:p w14:paraId="69885895">
            <w:pPr>
              <w:tabs>
                <w:tab w:val="left" w:pos="5610"/>
              </w:tabs>
              <w:spacing w:line="360" w:lineRule="auto"/>
              <w:ind w:firstLine="480" w:firstLineChars="200"/>
              <w:rPr>
                <w:rFonts w:hint="default" w:ascii="Times New Roman" w:hAnsi="Times New Roman" w:eastAsia="宋体" w:cs="Times New Roman"/>
                <w:kern w:val="2"/>
                <w:sz w:val="24"/>
                <w:szCs w:val="24"/>
                <w:lang w:val="en-US" w:eastAsia="zh-CN" w:bidi="ar"/>
              </w:rPr>
            </w:pPr>
            <w:r>
              <w:rPr>
                <w:rFonts w:hint="eastAsia" w:ascii="宋体" w:hAnsi="宋体" w:eastAsia="宋体" w:cs="宋体"/>
                <w:bCs/>
                <w:color w:val="auto"/>
                <w:sz w:val="24"/>
                <w:szCs w:val="24"/>
                <w:lang w:val="en-US" w:eastAsia="zh-CN"/>
              </w:rPr>
              <w:t>③</w:t>
            </w:r>
            <w:r>
              <w:rPr>
                <w:rFonts w:hint="default" w:ascii="Times New Roman" w:hAnsi="Times New Roman" w:eastAsia="宋体" w:cs="Times New Roman"/>
                <w:kern w:val="2"/>
                <w:sz w:val="24"/>
                <w:szCs w:val="24"/>
                <w:lang w:val="en-US" w:eastAsia="zh-CN" w:bidi="ar"/>
              </w:rPr>
              <w:t>清洗用水</w:t>
            </w:r>
          </w:p>
          <w:p w14:paraId="1715AFD8">
            <w:pPr>
              <w:tabs>
                <w:tab w:val="left" w:pos="5610"/>
              </w:tabs>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eastAsia="宋体" w:cs="Times New Roman"/>
                <w:kern w:val="2"/>
                <w:sz w:val="24"/>
                <w:szCs w:val="24"/>
                <w:lang w:val="en-US" w:eastAsia="zh-CN" w:bidi="ar"/>
              </w:rPr>
              <w:t>钢化玻璃生产线清洗用水，玻璃原片在</w:t>
            </w:r>
            <w:r>
              <w:rPr>
                <w:rFonts w:hint="eastAsia" w:cs="Times New Roman"/>
                <w:kern w:val="2"/>
                <w:sz w:val="24"/>
                <w:szCs w:val="24"/>
                <w:lang w:val="en-US" w:eastAsia="zh-CN" w:bidi="ar"/>
              </w:rPr>
              <w:t>打磨</w:t>
            </w:r>
            <w:r>
              <w:rPr>
                <w:rFonts w:hint="default" w:ascii="Times New Roman" w:hAnsi="Times New Roman" w:cs="Times New Roman"/>
                <w:kern w:val="2"/>
                <w:sz w:val="24"/>
                <w:szCs w:val="24"/>
                <w:lang w:val="en-US" w:eastAsia="zh-CN" w:bidi="ar"/>
              </w:rPr>
              <w:t>加工</w:t>
            </w:r>
            <w:r>
              <w:rPr>
                <w:rFonts w:hint="default" w:ascii="Times New Roman" w:hAnsi="Times New Roman" w:eastAsia="宋体" w:cs="Times New Roman"/>
                <w:kern w:val="2"/>
                <w:sz w:val="24"/>
                <w:szCs w:val="24"/>
                <w:lang w:val="en-US" w:eastAsia="zh-CN" w:bidi="ar"/>
              </w:rPr>
              <w:t>后需要进行清洗后才能进行钢化处理，</w:t>
            </w:r>
            <w:r>
              <w:rPr>
                <w:rFonts w:hint="eastAsia" w:cs="Times New Roman"/>
                <w:kern w:val="2"/>
                <w:sz w:val="24"/>
                <w:szCs w:val="24"/>
                <w:lang w:val="en-US" w:eastAsia="zh-CN" w:bidi="ar"/>
              </w:rPr>
              <w:t>清洗过程不添加洗涤剂</w:t>
            </w:r>
            <w:r>
              <w:rPr>
                <w:rFonts w:hint="default" w:ascii="Times New Roman" w:hAnsi="Times New Roman" w:eastAsia="宋体" w:cs="Times New Roman"/>
                <w:kern w:val="2"/>
                <w:sz w:val="24"/>
                <w:szCs w:val="24"/>
                <w:lang w:val="en-US" w:eastAsia="zh-CN" w:bidi="ar"/>
              </w:rPr>
              <w:t>，清洗机用水量</w:t>
            </w:r>
            <w:r>
              <w:rPr>
                <w:rFonts w:hint="eastAsia" w:cs="Times New Roman"/>
                <w:kern w:val="2"/>
                <w:sz w:val="24"/>
                <w:szCs w:val="24"/>
                <w:lang w:val="en-US" w:eastAsia="zh-CN" w:bidi="ar"/>
              </w:rPr>
              <w:t>约</w:t>
            </w:r>
            <w:r>
              <w:rPr>
                <w:rFonts w:hint="default" w:ascii="Times New Roman" w:hAnsi="Times New Roman" w:eastAsia="宋体" w:cs="Times New Roman"/>
                <w:kern w:val="2"/>
                <w:sz w:val="24"/>
                <w:szCs w:val="24"/>
                <w:lang w:val="en-US" w:eastAsia="zh-CN" w:bidi="ar"/>
              </w:rPr>
              <w:t>为</w:t>
            </w:r>
            <w:r>
              <w:rPr>
                <w:rFonts w:hint="eastAsia" w:cs="Times New Roman"/>
                <w:kern w:val="2"/>
                <w:sz w:val="24"/>
                <w:szCs w:val="24"/>
                <w:lang w:val="en-US" w:eastAsia="zh-CN" w:bidi="ar"/>
              </w:rPr>
              <w:t>8</w:t>
            </w:r>
            <w:r>
              <w:rPr>
                <w:rFonts w:hint="default" w:ascii="Times New Roman" w:hAnsi="Times New Roman" w:eastAsia="宋体" w:cs="Times New Roman"/>
                <w:kern w:val="2"/>
                <w:sz w:val="24"/>
                <w:szCs w:val="24"/>
                <w:lang w:val="en-US" w:eastAsia="zh-CN" w:bidi="ar"/>
              </w:rPr>
              <w:t>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/h，每天用水</w:t>
            </w:r>
            <w:r>
              <w:rPr>
                <w:rFonts w:hint="eastAsia" w:cs="Times New Roman"/>
                <w:kern w:val="2"/>
                <w:sz w:val="24"/>
                <w:szCs w:val="24"/>
                <w:lang w:val="en-US" w:eastAsia="zh-CN" w:bidi="ar"/>
              </w:rPr>
              <w:t>64</w:t>
            </w:r>
            <w:r>
              <w:rPr>
                <w:rFonts w:hint="default" w:ascii="Times New Roman" w:hAnsi="Times New Roman" w:eastAsia="宋体" w:cs="Times New Roman"/>
                <w:kern w:val="2"/>
                <w:sz w:val="24"/>
                <w:szCs w:val="24"/>
                <w:lang w:val="en-US" w:eastAsia="zh-CN" w:bidi="ar"/>
              </w:rPr>
              <w:t>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d</w:t>
            </w:r>
            <w:r>
              <w:rPr>
                <w:rFonts w:hint="default"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废水经压滤机处理后循环利用，不外排，</w:t>
            </w:r>
            <w:r>
              <w:rPr>
                <w:rFonts w:hint="eastAsia" w:ascii="Times New Roman" w:hAnsi="Times New Roman" w:cs="Times New Roman"/>
                <w:color w:val="auto"/>
                <w:sz w:val="24"/>
                <w:szCs w:val="24"/>
                <w:lang w:val="en-US" w:eastAsia="zh-CN"/>
              </w:rPr>
              <w:t>损耗系数按</w:t>
            </w:r>
            <w:r>
              <w:rPr>
                <w:rFonts w:hint="eastAsia" w:cs="Times New Roman"/>
                <w:color w:val="auto"/>
                <w:sz w:val="24"/>
                <w:szCs w:val="24"/>
                <w:lang w:val="en-US" w:eastAsia="zh-CN"/>
              </w:rPr>
              <w:t>10</w:t>
            </w:r>
            <w:r>
              <w:rPr>
                <w:rFonts w:hint="eastAsia" w:ascii="Times New Roman" w:hAnsi="Times New Roman" w:cs="Times New Roman"/>
                <w:color w:val="auto"/>
                <w:sz w:val="24"/>
                <w:szCs w:val="24"/>
                <w:lang w:val="en-US" w:eastAsia="zh-CN"/>
              </w:rPr>
              <w:t>%计，日补水量</w:t>
            </w:r>
            <w:r>
              <w:rPr>
                <w:rFonts w:hint="eastAsia" w:cs="Times New Roman"/>
                <w:color w:val="auto"/>
                <w:sz w:val="24"/>
                <w:szCs w:val="24"/>
                <w:lang w:val="en-US" w:eastAsia="zh-CN"/>
              </w:rPr>
              <w:t>6.4</w:t>
            </w:r>
            <w:r>
              <w:rPr>
                <w:rFonts w:hint="default" w:ascii="Times New Roman" w:hAnsi="Times New Roman" w:eastAsia="宋体" w:cs="Times New Roman"/>
                <w:kern w:val="2"/>
                <w:sz w:val="24"/>
                <w:szCs w:val="24"/>
                <w:lang w:val="en-US" w:eastAsia="zh-CN" w:bidi="ar"/>
              </w:rPr>
              <w:t>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d，</w:t>
            </w:r>
            <w:r>
              <w:rPr>
                <w:rFonts w:hint="default" w:ascii="Times New Roman" w:hAnsi="Times New Roman" w:eastAsia="宋体" w:cs="Times New Roman"/>
                <w:kern w:val="2"/>
                <w:sz w:val="24"/>
                <w:szCs w:val="24"/>
                <w:lang w:val="en-US" w:eastAsia="zh-CN" w:bidi="ar"/>
              </w:rPr>
              <w:t>年用水量</w:t>
            </w:r>
            <w:r>
              <w:rPr>
                <w:rFonts w:hint="eastAsia" w:cs="Times New Roman"/>
                <w:kern w:val="2"/>
                <w:sz w:val="24"/>
                <w:szCs w:val="24"/>
                <w:lang w:val="en-US" w:eastAsia="zh-CN" w:bidi="ar"/>
              </w:rPr>
              <w:t>1920</w:t>
            </w:r>
            <w:r>
              <w:rPr>
                <w:rFonts w:hint="default" w:ascii="Times New Roman" w:hAnsi="Times New Roman" w:eastAsia="宋体" w:cs="Times New Roman"/>
                <w:kern w:val="2"/>
                <w:sz w:val="24"/>
                <w:szCs w:val="24"/>
                <w:lang w:val="en-US" w:eastAsia="zh-CN" w:bidi="ar"/>
              </w:rPr>
              <w:t>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a</w:t>
            </w:r>
            <w:r>
              <w:rPr>
                <w:rFonts w:hint="default" w:ascii="Times New Roman" w:hAnsi="Times New Roman" w:cs="Times New Roman"/>
                <w:color w:val="auto"/>
                <w:sz w:val="24"/>
                <w:szCs w:val="24"/>
              </w:rPr>
              <w:t>。</w:t>
            </w:r>
          </w:p>
          <w:p w14:paraId="1893572C">
            <w:pPr>
              <w:autoSpaceDE w:val="0"/>
              <w:autoSpaceDN w:val="0"/>
              <w:jc w:val="center"/>
              <w:rPr>
                <w:b/>
                <w:kern w:val="0"/>
                <w:sz w:val="21"/>
                <w:szCs w:val="21"/>
              </w:rPr>
            </w:pPr>
            <w:r>
              <w:rPr>
                <w:b/>
                <w:kern w:val="0"/>
                <w:sz w:val="21"/>
                <w:szCs w:val="21"/>
                <w:lang w:val="zh-CN"/>
              </w:rPr>
              <w:t>表</w:t>
            </w:r>
            <w:r>
              <w:rPr>
                <w:rFonts w:hint="eastAsia"/>
                <w:b/>
                <w:kern w:val="0"/>
                <w:sz w:val="21"/>
                <w:szCs w:val="21"/>
              </w:rPr>
              <w:t>2-</w:t>
            </w:r>
            <w:r>
              <w:rPr>
                <w:rFonts w:hint="eastAsia"/>
                <w:b/>
                <w:kern w:val="0"/>
                <w:sz w:val="21"/>
                <w:szCs w:val="21"/>
                <w:lang w:val="en-US" w:eastAsia="zh-CN"/>
              </w:rPr>
              <w:t>6</w:t>
            </w:r>
            <w:r>
              <w:rPr>
                <w:b/>
                <w:kern w:val="0"/>
                <w:sz w:val="21"/>
                <w:szCs w:val="21"/>
                <w:lang w:val="zh-CN"/>
              </w:rPr>
              <w:t xml:space="preserve"> </w:t>
            </w:r>
            <w:r>
              <w:rPr>
                <w:rFonts w:hint="eastAsia"/>
                <w:b/>
                <w:kern w:val="0"/>
                <w:sz w:val="21"/>
                <w:szCs w:val="21"/>
              </w:rPr>
              <w:t xml:space="preserve"> </w:t>
            </w:r>
            <w:r>
              <w:rPr>
                <w:b/>
                <w:kern w:val="0"/>
                <w:sz w:val="21"/>
                <w:szCs w:val="21"/>
                <w:lang w:val="zh-CN"/>
              </w:rPr>
              <w:t xml:space="preserve"> 项目用、排水量分析表</w:t>
            </w:r>
            <w:r>
              <w:rPr>
                <w:rFonts w:hint="eastAsia"/>
                <w:b/>
                <w:kern w:val="0"/>
                <w:sz w:val="21"/>
                <w:szCs w:val="21"/>
                <w:lang w:val="zh-CN"/>
              </w:rPr>
              <w:t>（</w:t>
            </w:r>
            <w:r>
              <w:rPr>
                <w:rFonts w:hint="eastAsia"/>
                <w:b/>
                <w:kern w:val="0"/>
                <w:sz w:val="21"/>
                <w:szCs w:val="21"/>
              </w:rPr>
              <w:t>m</w:t>
            </w:r>
            <w:r>
              <w:rPr>
                <w:rFonts w:hint="eastAsia"/>
                <w:b/>
                <w:kern w:val="0"/>
                <w:sz w:val="21"/>
                <w:szCs w:val="21"/>
                <w:vertAlign w:val="superscript"/>
              </w:rPr>
              <w:t>3</w:t>
            </w:r>
            <w:r>
              <w:rPr>
                <w:rFonts w:hint="eastAsia"/>
                <w:b/>
                <w:kern w:val="0"/>
                <w:sz w:val="21"/>
                <w:szCs w:val="21"/>
              </w:rPr>
              <w:t>/d）</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066"/>
              <w:gridCol w:w="4043"/>
              <w:gridCol w:w="962"/>
              <w:gridCol w:w="1106"/>
              <w:gridCol w:w="897"/>
            </w:tblGrid>
            <w:tr w14:paraId="6D65E1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8" w:type="pct"/>
                  <w:tcBorders>
                    <w:tl2br w:val="nil"/>
                    <w:tr2bl w:val="nil"/>
                  </w:tcBorders>
                  <w:noWrap w:val="0"/>
                  <w:vAlign w:val="center"/>
                </w:tcPr>
                <w:p w14:paraId="3DDA2778">
                  <w:pPr>
                    <w:autoSpaceDE w:val="0"/>
                    <w:autoSpaceDN w:val="0"/>
                    <w:jc w:val="center"/>
                    <w:rPr>
                      <w:color w:val="000000"/>
                      <w:kern w:val="24"/>
                      <w:sz w:val="21"/>
                      <w:szCs w:val="21"/>
                    </w:rPr>
                  </w:pPr>
                  <w:r>
                    <w:rPr>
                      <w:color w:val="000000"/>
                      <w:sz w:val="21"/>
                      <w:szCs w:val="21"/>
                    </w:rPr>
                    <w:t>用水环节</w:t>
                  </w:r>
                </w:p>
              </w:tc>
              <w:tc>
                <w:tcPr>
                  <w:tcW w:w="2227" w:type="pct"/>
                  <w:tcBorders>
                    <w:tl2br w:val="nil"/>
                    <w:tr2bl w:val="nil"/>
                  </w:tcBorders>
                  <w:noWrap w:val="0"/>
                  <w:vAlign w:val="center"/>
                </w:tcPr>
                <w:p w14:paraId="093411F7">
                  <w:pPr>
                    <w:autoSpaceDE w:val="0"/>
                    <w:autoSpaceDN w:val="0"/>
                    <w:jc w:val="center"/>
                    <w:rPr>
                      <w:color w:val="000000"/>
                      <w:kern w:val="24"/>
                      <w:sz w:val="21"/>
                      <w:szCs w:val="21"/>
                    </w:rPr>
                  </w:pPr>
                  <w:r>
                    <w:rPr>
                      <w:color w:val="000000"/>
                      <w:kern w:val="24"/>
                      <w:sz w:val="21"/>
                      <w:szCs w:val="21"/>
                    </w:rPr>
                    <w:t>用水指标</w:t>
                  </w:r>
                </w:p>
              </w:tc>
              <w:tc>
                <w:tcPr>
                  <w:tcW w:w="530" w:type="pct"/>
                  <w:tcBorders>
                    <w:tl2br w:val="nil"/>
                    <w:tr2bl w:val="nil"/>
                  </w:tcBorders>
                  <w:noWrap w:val="0"/>
                  <w:vAlign w:val="center"/>
                </w:tcPr>
                <w:p w14:paraId="6F228B36">
                  <w:pPr>
                    <w:autoSpaceDE w:val="0"/>
                    <w:autoSpaceDN w:val="0"/>
                    <w:jc w:val="center"/>
                    <w:rPr>
                      <w:color w:val="000000"/>
                      <w:sz w:val="21"/>
                      <w:szCs w:val="21"/>
                    </w:rPr>
                  </w:pPr>
                  <w:r>
                    <w:rPr>
                      <w:color w:val="000000"/>
                      <w:sz w:val="21"/>
                      <w:szCs w:val="21"/>
                    </w:rPr>
                    <w:t>用水量</w:t>
                  </w:r>
                </w:p>
              </w:tc>
              <w:tc>
                <w:tcPr>
                  <w:tcW w:w="609" w:type="pct"/>
                  <w:tcBorders>
                    <w:tl2br w:val="nil"/>
                    <w:tr2bl w:val="nil"/>
                  </w:tcBorders>
                  <w:noWrap w:val="0"/>
                  <w:vAlign w:val="center"/>
                </w:tcPr>
                <w:p w14:paraId="194FE3A2">
                  <w:pPr>
                    <w:jc w:val="center"/>
                    <w:rPr>
                      <w:color w:val="000000"/>
                      <w:kern w:val="24"/>
                      <w:sz w:val="21"/>
                      <w:szCs w:val="21"/>
                    </w:rPr>
                  </w:pPr>
                  <w:r>
                    <w:rPr>
                      <w:color w:val="000000"/>
                      <w:kern w:val="24"/>
                      <w:sz w:val="21"/>
                      <w:szCs w:val="21"/>
                    </w:rPr>
                    <w:t>排污系数</w:t>
                  </w:r>
                </w:p>
              </w:tc>
              <w:tc>
                <w:tcPr>
                  <w:tcW w:w="494" w:type="pct"/>
                  <w:tcBorders>
                    <w:tl2br w:val="nil"/>
                    <w:tr2bl w:val="nil"/>
                  </w:tcBorders>
                  <w:noWrap w:val="0"/>
                  <w:vAlign w:val="center"/>
                </w:tcPr>
                <w:p w14:paraId="30BF77B6">
                  <w:pPr>
                    <w:jc w:val="center"/>
                    <w:rPr>
                      <w:color w:val="000000"/>
                      <w:kern w:val="24"/>
                      <w:sz w:val="21"/>
                      <w:szCs w:val="21"/>
                    </w:rPr>
                  </w:pPr>
                  <w:r>
                    <w:rPr>
                      <w:color w:val="000000"/>
                      <w:kern w:val="24"/>
                      <w:sz w:val="21"/>
                      <w:szCs w:val="21"/>
                    </w:rPr>
                    <w:t>排水量</w:t>
                  </w:r>
                </w:p>
              </w:tc>
            </w:tr>
            <w:tr w14:paraId="34625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8" w:type="pct"/>
                  <w:tcBorders>
                    <w:tl2br w:val="nil"/>
                    <w:tr2bl w:val="nil"/>
                  </w:tcBorders>
                  <w:noWrap w:val="0"/>
                  <w:vAlign w:val="center"/>
                </w:tcPr>
                <w:p w14:paraId="6102A66E">
                  <w:pPr>
                    <w:autoSpaceDE w:val="0"/>
                    <w:autoSpaceDN w:val="0"/>
                    <w:jc w:val="center"/>
                    <w:rPr>
                      <w:rFonts w:hint="eastAsia" w:ascii="Times New Roman" w:hAnsi="Times New Roman" w:eastAsia="宋体" w:cs="Times New Roman"/>
                      <w:snapToGrid w:val="0"/>
                      <w:sz w:val="21"/>
                      <w:szCs w:val="21"/>
                      <w:lang w:val="en-US" w:eastAsia="zh-CN"/>
                    </w:rPr>
                  </w:pPr>
                  <w:r>
                    <w:rPr>
                      <w:rFonts w:hint="eastAsia" w:ascii="Times New Roman" w:hAnsi="Times New Roman" w:eastAsia="宋体" w:cs="Times New Roman"/>
                      <w:snapToGrid w:val="0"/>
                      <w:sz w:val="21"/>
                      <w:szCs w:val="21"/>
                      <w:lang w:val="en-US" w:eastAsia="zh-CN"/>
                    </w:rPr>
                    <w:t>生活办公</w:t>
                  </w:r>
                </w:p>
              </w:tc>
              <w:tc>
                <w:tcPr>
                  <w:tcW w:w="2227" w:type="pct"/>
                  <w:tcBorders>
                    <w:tl2br w:val="nil"/>
                    <w:tr2bl w:val="nil"/>
                  </w:tcBorders>
                  <w:noWrap w:val="0"/>
                  <w:vAlign w:val="center"/>
                </w:tcPr>
                <w:p w14:paraId="3C63BBE6">
                  <w:pPr>
                    <w:autoSpaceDE w:val="0"/>
                    <w:autoSpaceDN w:val="0"/>
                    <w:jc w:val="center"/>
                    <w:rPr>
                      <w:rFonts w:hint="eastAsia"/>
                      <w:color w:val="000000"/>
                      <w:kern w:val="24"/>
                      <w:sz w:val="21"/>
                      <w:szCs w:val="21"/>
                    </w:rPr>
                  </w:pPr>
                  <w:r>
                    <w:rPr>
                      <w:rFonts w:hint="eastAsia"/>
                      <w:color w:val="000000"/>
                      <w:kern w:val="24"/>
                      <w:sz w:val="21"/>
                      <w:szCs w:val="21"/>
                      <w:lang w:val="en-US" w:eastAsia="zh-CN"/>
                    </w:rPr>
                    <w:t>15</w:t>
                  </w:r>
                  <w:r>
                    <w:rPr>
                      <w:color w:val="000000"/>
                      <w:kern w:val="24"/>
                      <w:sz w:val="21"/>
                      <w:szCs w:val="21"/>
                    </w:rPr>
                    <w:t>人，</w:t>
                  </w:r>
                  <w:r>
                    <w:rPr>
                      <w:rFonts w:hint="eastAsia"/>
                      <w:color w:val="000000"/>
                      <w:kern w:val="24"/>
                      <w:sz w:val="21"/>
                      <w:szCs w:val="21"/>
                      <w:lang w:val="en-US" w:eastAsia="zh-CN"/>
                    </w:rPr>
                    <w:t>75</w:t>
                  </w:r>
                  <w:r>
                    <w:rPr>
                      <w:color w:val="000000"/>
                      <w:kern w:val="24"/>
                      <w:sz w:val="21"/>
                      <w:szCs w:val="21"/>
                    </w:rPr>
                    <w:t>L/人·d计</w:t>
                  </w:r>
                  <w:r>
                    <w:rPr>
                      <w:rFonts w:hint="eastAsia"/>
                      <w:sz w:val="21"/>
                      <w:szCs w:val="21"/>
                    </w:rPr>
                    <w:t>，</w:t>
                  </w:r>
                  <w:r>
                    <w:rPr>
                      <w:rFonts w:hint="eastAsia"/>
                      <w:color w:val="000000"/>
                      <w:kern w:val="24"/>
                      <w:sz w:val="21"/>
                      <w:szCs w:val="21"/>
                    </w:rPr>
                    <w:t>取值参照</w:t>
                  </w:r>
                  <w:r>
                    <w:rPr>
                      <w:sz w:val="21"/>
                      <w:szCs w:val="21"/>
                    </w:rPr>
                    <w:t>《</w:t>
                  </w:r>
                  <w:r>
                    <w:rPr>
                      <w:rFonts w:hint="eastAsia"/>
                      <w:sz w:val="21"/>
                      <w:szCs w:val="21"/>
                      <w:lang w:eastAsia="zh-CN"/>
                    </w:rPr>
                    <w:t>辽宁</w:t>
                  </w:r>
                  <w:r>
                    <w:rPr>
                      <w:sz w:val="21"/>
                      <w:szCs w:val="21"/>
                    </w:rPr>
                    <w:t>省行业用水定额》</w:t>
                  </w:r>
                </w:p>
              </w:tc>
              <w:tc>
                <w:tcPr>
                  <w:tcW w:w="530" w:type="pct"/>
                  <w:tcBorders>
                    <w:tl2br w:val="nil"/>
                    <w:tr2bl w:val="nil"/>
                  </w:tcBorders>
                  <w:noWrap w:val="0"/>
                  <w:vAlign w:val="center"/>
                </w:tcPr>
                <w:p w14:paraId="157E391B">
                  <w:pPr>
                    <w:autoSpaceDE w:val="0"/>
                    <w:autoSpaceDN w:val="0"/>
                    <w:jc w:val="center"/>
                    <w:rPr>
                      <w:rFonts w:hint="default" w:eastAsia="宋体"/>
                      <w:color w:val="000000"/>
                      <w:sz w:val="21"/>
                      <w:szCs w:val="21"/>
                      <w:lang w:val="en-US" w:eastAsia="zh-CN"/>
                    </w:rPr>
                  </w:pPr>
                  <w:r>
                    <w:rPr>
                      <w:rFonts w:hint="eastAsia"/>
                      <w:color w:val="000000"/>
                      <w:sz w:val="21"/>
                      <w:szCs w:val="21"/>
                      <w:lang w:val="en-US" w:eastAsia="zh-CN"/>
                    </w:rPr>
                    <w:t>1.125</w:t>
                  </w:r>
                </w:p>
              </w:tc>
              <w:tc>
                <w:tcPr>
                  <w:tcW w:w="609" w:type="pct"/>
                  <w:tcBorders>
                    <w:tl2br w:val="nil"/>
                    <w:tr2bl w:val="nil"/>
                  </w:tcBorders>
                  <w:noWrap w:val="0"/>
                  <w:vAlign w:val="center"/>
                </w:tcPr>
                <w:p w14:paraId="6C72285C">
                  <w:pPr>
                    <w:jc w:val="center"/>
                    <w:rPr>
                      <w:color w:val="000000"/>
                      <w:kern w:val="24"/>
                      <w:sz w:val="21"/>
                      <w:szCs w:val="21"/>
                    </w:rPr>
                  </w:pPr>
                  <w:r>
                    <w:rPr>
                      <w:color w:val="000000"/>
                      <w:kern w:val="24"/>
                      <w:sz w:val="21"/>
                      <w:szCs w:val="21"/>
                    </w:rPr>
                    <w:t>80%</w:t>
                  </w:r>
                </w:p>
              </w:tc>
              <w:tc>
                <w:tcPr>
                  <w:tcW w:w="494" w:type="pct"/>
                  <w:tcBorders>
                    <w:tl2br w:val="nil"/>
                    <w:tr2bl w:val="nil"/>
                  </w:tcBorders>
                  <w:noWrap w:val="0"/>
                  <w:vAlign w:val="center"/>
                </w:tcPr>
                <w:p w14:paraId="56825CAD">
                  <w:pPr>
                    <w:jc w:val="center"/>
                    <w:rPr>
                      <w:rFonts w:hint="default" w:eastAsia="宋体"/>
                      <w:color w:val="000000"/>
                      <w:sz w:val="21"/>
                      <w:szCs w:val="21"/>
                      <w:lang w:val="en-US" w:eastAsia="zh-CN"/>
                    </w:rPr>
                  </w:pPr>
                  <w:r>
                    <w:rPr>
                      <w:rFonts w:hint="eastAsia"/>
                      <w:color w:val="000000"/>
                      <w:sz w:val="21"/>
                      <w:szCs w:val="21"/>
                      <w:lang w:val="en-US" w:eastAsia="zh-CN"/>
                    </w:rPr>
                    <w:t>0.9</w:t>
                  </w:r>
                </w:p>
              </w:tc>
            </w:tr>
            <w:tr w14:paraId="4AC5DB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8" w:type="pct"/>
                  <w:tcBorders>
                    <w:tl2br w:val="nil"/>
                    <w:tr2bl w:val="nil"/>
                  </w:tcBorders>
                  <w:noWrap w:val="0"/>
                  <w:vAlign w:val="center"/>
                </w:tcPr>
                <w:p w14:paraId="57B89E50">
                  <w:pPr>
                    <w:autoSpaceDE w:val="0"/>
                    <w:autoSpaceDN w:val="0"/>
                    <w:jc w:val="center"/>
                    <w:rPr>
                      <w:rFonts w:hint="default" w:ascii="Times New Roman" w:hAnsi="Times New Roman" w:eastAsia="宋体" w:cs="Times New Roman"/>
                      <w:snapToGrid w:val="0"/>
                      <w:sz w:val="21"/>
                      <w:szCs w:val="21"/>
                      <w:lang w:val="en-US" w:eastAsia="zh-CN"/>
                    </w:rPr>
                  </w:pPr>
                  <w:r>
                    <w:rPr>
                      <w:rFonts w:hint="eastAsia" w:cs="Times New Roman"/>
                      <w:snapToGrid w:val="0"/>
                      <w:sz w:val="21"/>
                      <w:szCs w:val="21"/>
                      <w:lang w:val="en-US" w:eastAsia="zh-CN"/>
                    </w:rPr>
                    <w:t>切割</w:t>
                  </w:r>
                  <w:r>
                    <w:rPr>
                      <w:rFonts w:hint="eastAsia" w:ascii="Times New Roman" w:hAnsi="Times New Roman" w:eastAsia="宋体" w:cs="Times New Roman"/>
                      <w:snapToGrid w:val="0"/>
                      <w:sz w:val="21"/>
                      <w:szCs w:val="21"/>
                      <w:lang w:val="en-US" w:eastAsia="zh-CN"/>
                    </w:rPr>
                    <w:t>打磨用水</w:t>
                  </w:r>
                </w:p>
              </w:tc>
              <w:tc>
                <w:tcPr>
                  <w:tcW w:w="2227" w:type="pct"/>
                  <w:tcBorders>
                    <w:tl2br w:val="nil"/>
                    <w:tr2bl w:val="nil"/>
                  </w:tcBorders>
                  <w:noWrap w:val="0"/>
                  <w:vAlign w:val="center"/>
                </w:tcPr>
                <w:p w14:paraId="300B5071">
                  <w:pPr>
                    <w:autoSpaceDE w:val="0"/>
                    <w:autoSpaceDN w:val="0"/>
                    <w:jc w:val="center"/>
                    <w:rPr>
                      <w:rFonts w:hint="eastAsia"/>
                      <w:color w:val="000000"/>
                      <w:kern w:val="24"/>
                      <w:sz w:val="21"/>
                      <w:szCs w:val="21"/>
                      <w:lang w:val="en-US" w:eastAsia="zh-CN"/>
                    </w:rPr>
                  </w:pPr>
                  <w:r>
                    <w:rPr>
                      <w:rFonts w:hint="eastAsia" w:cs="Times New Roman"/>
                      <w:snapToGrid w:val="0"/>
                      <w:sz w:val="21"/>
                      <w:szCs w:val="21"/>
                      <w:lang w:eastAsia="zh-CN"/>
                    </w:rPr>
                    <w:t>打磨机一台，</w:t>
                  </w:r>
                  <w:r>
                    <w:rPr>
                      <w:rFonts w:hint="eastAsia" w:cs="Times New Roman"/>
                      <w:snapToGrid w:val="0"/>
                      <w:sz w:val="21"/>
                      <w:szCs w:val="21"/>
                      <w:lang w:val="en-US" w:eastAsia="zh-CN"/>
                    </w:rPr>
                    <w:t>补水0.1</w:t>
                  </w:r>
                  <w:r>
                    <w:rPr>
                      <w:rFonts w:hint="default" w:ascii="Times New Roman" w:hAnsi="Times New Roman" w:eastAsia="宋体" w:cs="Times New Roman"/>
                      <w:snapToGrid w:val="0"/>
                      <w:sz w:val="21"/>
                      <w:szCs w:val="21"/>
                    </w:rPr>
                    <w:t>m</w:t>
                  </w:r>
                  <w:r>
                    <w:rPr>
                      <w:rFonts w:hint="default" w:ascii="Times New Roman" w:hAnsi="Times New Roman" w:eastAsia="宋体" w:cs="Times New Roman"/>
                      <w:snapToGrid w:val="0"/>
                      <w:sz w:val="21"/>
                      <w:szCs w:val="21"/>
                      <w:vertAlign w:val="superscript"/>
                    </w:rPr>
                    <w:t>3</w:t>
                  </w:r>
                  <w:r>
                    <w:rPr>
                      <w:rFonts w:hint="default" w:ascii="Times New Roman" w:hAnsi="Times New Roman" w:eastAsia="宋体" w:cs="Times New Roman"/>
                      <w:snapToGrid w:val="0"/>
                      <w:sz w:val="21"/>
                      <w:szCs w:val="21"/>
                    </w:rPr>
                    <w:t>/h</w:t>
                  </w:r>
                  <w:r>
                    <w:rPr>
                      <w:rFonts w:hint="eastAsia" w:ascii="Times New Roman" w:hAnsi="Times New Roman" w:eastAsia="宋体" w:cs="Times New Roman"/>
                      <w:snapToGrid w:val="0"/>
                      <w:sz w:val="21"/>
                      <w:szCs w:val="21"/>
                      <w:lang w:eastAsia="zh-CN"/>
                    </w:rPr>
                    <w:t>，</w:t>
                  </w:r>
                  <w:r>
                    <w:rPr>
                      <w:rFonts w:hint="eastAsia" w:ascii="Times New Roman" w:hAnsi="Times New Roman" w:eastAsia="宋体" w:cs="Times New Roman"/>
                      <w:snapToGrid w:val="0"/>
                      <w:sz w:val="21"/>
                      <w:szCs w:val="21"/>
                      <w:lang w:val="en-US" w:eastAsia="zh-CN"/>
                    </w:rPr>
                    <w:t>每天8h</w:t>
                  </w:r>
                  <w:r>
                    <w:rPr>
                      <w:rFonts w:hint="eastAsia" w:cs="Times New Roman"/>
                      <w:snapToGrid w:val="0"/>
                      <w:sz w:val="21"/>
                      <w:szCs w:val="21"/>
                      <w:lang w:val="en-US" w:eastAsia="zh-CN"/>
                    </w:rPr>
                    <w:t>，用水</w:t>
                  </w:r>
                  <w:r>
                    <w:rPr>
                      <w:rFonts w:hint="eastAsia" w:cs="Times New Roman"/>
                      <w:color w:val="000000"/>
                      <w:kern w:val="2"/>
                      <w:sz w:val="21"/>
                      <w:szCs w:val="21"/>
                      <w:lang w:val="en-US" w:eastAsia="zh-CN" w:bidi="ar-SA"/>
                    </w:rPr>
                    <w:t>0.8</w:t>
                  </w:r>
                  <w:r>
                    <w:rPr>
                      <w:rFonts w:hint="eastAsia"/>
                      <w:color w:val="000000"/>
                      <w:kern w:val="24"/>
                      <w:sz w:val="21"/>
                      <w:szCs w:val="21"/>
                    </w:rPr>
                    <w:t>m</w:t>
                  </w:r>
                  <w:r>
                    <w:rPr>
                      <w:rFonts w:hint="eastAsia"/>
                      <w:color w:val="000000"/>
                      <w:kern w:val="24"/>
                      <w:sz w:val="21"/>
                      <w:szCs w:val="21"/>
                      <w:vertAlign w:val="superscript"/>
                    </w:rPr>
                    <w:t>3</w:t>
                  </w:r>
                  <w:r>
                    <w:rPr>
                      <w:rFonts w:hint="default" w:ascii="Times New Roman" w:hAnsi="Times New Roman" w:eastAsia="宋体" w:cs="Times New Roman"/>
                      <w:snapToGrid w:val="0"/>
                      <w:sz w:val="21"/>
                      <w:szCs w:val="21"/>
                    </w:rPr>
                    <w:t>/</w:t>
                  </w:r>
                  <w:r>
                    <w:rPr>
                      <w:rFonts w:hint="eastAsia" w:ascii="Times New Roman" w:hAnsi="Times New Roman" w:eastAsia="宋体" w:cs="Times New Roman"/>
                      <w:snapToGrid w:val="0"/>
                      <w:sz w:val="21"/>
                      <w:szCs w:val="21"/>
                      <w:lang w:val="en-US" w:eastAsia="zh-CN"/>
                    </w:rPr>
                    <w:t>d</w:t>
                  </w:r>
                </w:p>
              </w:tc>
              <w:tc>
                <w:tcPr>
                  <w:tcW w:w="530" w:type="pct"/>
                  <w:tcBorders>
                    <w:tl2br w:val="nil"/>
                    <w:tr2bl w:val="nil"/>
                  </w:tcBorders>
                  <w:noWrap w:val="0"/>
                  <w:vAlign w:val="center"/>
                </w:tcPr>
                <w:p w14:paraId="5F2A635D">
                  <w:pPr>
                    <w:autoSpaceDE w:val="0"/>
                    <w:autoSpaceDN w:val="0"/>
                    <w:spacing w:line="240" w:lineRule="exact"/>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0.8</w:t>
                  </w:r>
                </w:p>
              </w:tc>
              <w:tc>
                <w:tcPr>
                  <w:tcW w:w="609" w:type="pct"/>
                  <w:tcBorders>
                    <w:tl2br w:val="nil"/>
                    <w:tr2bl w:val="nil"/>
                  </w:tcBorders>
                  <w:noWrap w:val="0"/>
                  <w:vAlign w:val="center"/>
                </w:tcPr>
                <w:p w14:paraId="206C3EDA">
                  <w:pPr>
                    <w:spacing w:line="240" w:lineRule="exact"/>
                    <w:jc w:val="center"/>
                    <w:rPr>
                      <w:rFonts w:hint="default" w:ascii="Times New Roman" w:hAnsi="Times New Roman" w:eastAsia="宋体" w:cs="Times New Roman"/>
                      <w:color w:val="000000"/>
                      <w:kern w:val="24"/>
                      <w:sz w:val="21"/>
                      <w:szCs w:val="21"/>
                      <w:lang w:val="en-US" w:eastAsia="zh-CN" w:bidi="ar-SA"/>
                    </w:rPr>
                  </w:pPr>
                  <w:r>
                    <w:rPr>
                      <w:rFonts w:hint="eastAsia"/>
                      <w:color w:val="000000"/>
                      <w:kern w:val="24"/>
                      <w:sz w:val="21"/>
                      <w:szCs w:val="21"/>
                      <w:lang w:val="en-US" w:eastAsia="zh-CN"/>
                    </w:rPr>
                    <w:t>9</w:t>
                  </w:r>
                  <w:r>
                    <w:rPr>
                      <w:color w:val="000000"/>
                      <w:kern w:val="24"/>
                      <w:sz w:val="21"/>
                      <w:szCs w:val="21"/>
                    </w:rPr>
                    <w:t>0%</w:t>
                  </w:r>
                </w:p>
              </w:tc>
              <w:tc>
                <w:tcPr>
                  <w:tcW w:w="494" w:type="pct"/>
                  <w:tcBorders>
                    <w:tl2br w:val="nil"/>
                    <w:tr2bl w:val="nil"/>
                  </w:tcBorders>
                  <w:noWrap w:val="0"/>
                  <w:vAlign w:val="center"/>
                </w:tcPr>
                <w:p w14:paraId="2F4B9F9A">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w:t>
                  </w:r>
                </w:p>
              </w:tc>
            </w:tr>
            <w:tr w14:paraId="2CA735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8" w:type="pct"/>
                  <w:tcBorders>
                    <w:tl2br w:val="nil"/>
                    <w:tr2bl w:val="nil"/>
                  </w:tcBorders>
                  <w:noWrap w:val="0"/>
                  <w:vAlign w:val="center"/>
                </w:tcPr>
                <w:p w14:paraId="6FEFDD83">
                  <w:pPr>
                    <w:autoSpaceDE w:val="0"/>
                    <w:autoSpaceDN w:val="0"/>
                    <w:jc w:val="center"/>
                    <w:rPr>
                      <w:rFonts w:hint="eastAsia" w:ascii="Times New Roman" w:hAnsi="Times New Roman" w:eastAsia="宋体" w:cs="Times New Roman"/>
                      <w:snapToGrid w:val="0"/>
                      <w:sz w:val="21"/>
                      <w:szCs w:val="21"/>
                      <w:lang w:val="en-US" w:eastAsia="zh-CN"/>
                    </w:rPr>
                  </w:pPr>
                  <w:r>
                    <w:rPr>
                      <w:rFonts w:hint="default" w:ascii="Times New Roman" w:hAnsi="Times New Roman" w:eastAsia="宋体" w:cs="Times New Roman"/>
                      <w:snapToGrid w:val="0"/>
                      <w:sz w:val="21"/>
                      <w:szCs w:val="21"/>
                      <w:lang w:val="en-US" w:eastAsia="zh-CN"/>
                    </w:rPr>
                    <w:t>清洗</w:t>
                  </w:r>
                  <w:r>
                    <w:rPr>
                      <w:rFonts w:hint="eastAsia" w:ascii="Times New Roman" w:hAnsi="Times New Roman" w:eastAsia="宋体" w:cs="Times New Roman"/>
                      <w:snapToGrid w:val="0"/>
                      <w:sz w:val="21"/>
                      <w:szCs w:val="21"/>
                      <w:lang w:val="en-US" w:eastAsia="zh-CN"/>
                    </w:rPr>
                    <w:t>用水</w:t>
                  </w:r>
                </w:p>
              </w:tc>
              <w:tc>
                <w:tcPr>
                  <w:tcW w:w="2227" w:type="pct"/>
                  <w:tcBorders>
                    <w:tl2br w:val="nil"/>
                    <w:tr2bl w:val="nil"/>
                  </w:tcBorders>
                  <w:noWrap w:val="0"/>
                  <w:vAlign w:val="center"/>
                </w:tcPr>
                <w:p w14:paraId="4884305B">
                  <w:pPr>
                    <w:autoSpaceDE w:val="0"/>
                    <w:autoSpaceDN w:val="0"/>
                    <w:jc w:val="center"/>
                    <w:rPr>
                      <w:color w:val="000000"/>
                      <w:kern w:val="24"/>
                      <w:sz w:val="21"/>
                      <w:szCs w:val="21"/>
                    </w:rPr>
                  </w:pPr>
                  <w:r>
                    <w:rPr>
                      <w:rFonts w:hint="eastAsia"/>
                      <w:color w:val="000000"/>
                      <w:kern w:val="24"/>
                      <w:sz w:val="21"/>
                      <w:szCs w:val="21"/>
                      <w:lang w:val="en-US" w:eastAsia="zh-CN"/>
                    </w:rPr>
                    <w:t>清洗机一台，</w:t>
                  </w:r>
                  <w:r>
                    <w:rPr>
                      <w:rFonts w:hint="eastAsia" w:cs="Times New Roman"/>
                      <w:snapToGrid w:val="0"/>
                      <w:sz w:val="21"/>
                      <w:szCs w:val="21"/>
                      <w:lang w:val="en-US" w:eastAsia="zh-CN"/>
                    </w:rPr>
                    <w:t>补水0.8</w:t>
                  </w:r>
                  <w:r>
                    <w:rPr>
                      <w:rFonts w:hint="default" w:ascii="Times New Roman" w:hAnsi="Times New Roman" w:eastAsia="宋体" w:cs="Times New Roman"/>
                      <w:snapToGrid w:val="0"/>
                      <w:sz w:val="21"/>
                      <w:szCs w:val="21"/>
                    </w:rPr>
                    <w:t>m</w:t>
                  </w:r>
                  <w:r>
                    <w:rPr>
                      <w:rFonts w:hint="default" w:ascii="Times New Roman" w:hAnsi="Times New Roman" w:eastAsia="宋体" w:cs="Times New Roman"/>
                      <w:snapToGrid w:val="0"/>
                      <w:sz w:val="21"/>
                      <w:szCs w:val="21"/>
                      <w:vertAlign w:val="superscript"/>
                    </w:rPr>
                    <w:t>3</w:t>
                  </w:r>
                  <w:r>
                    <w:rPr>
                      <w:rFonts w:hint="default" w:ascii="Times New Roman" w:hAnsi="Times New Roman" w:eastAsia="宋体" w:cs="Times New Roman"/>
                      <w:snapToGrid w:val="0"/>
                      <w:sz w:val="21"/>
                      <w:szCs w:val="21"/>
                    </w:rPr>
                    <w:t>/h</w:t>
                  </w:r>
                  <w:r>
                    <w:rPr>
                      <w:rFonts w:hint="eastAsia" w:ascii="Times New Roman" w:hAnsi="Times New Roman" w:eastAsia="宋体" w:cs="Times New Roman"/>
                      <w:snapToGrid w:val="0"/>
                      <w:sz w:val="21"/>
                      <w:szCs w:val="21"/>
                      <w:lang w:eastAsia="zh-CN"/>
                    </w:rPr>
                    <w:t>，</w:t>
                  </w:r>
                  <w:r>
                    <w:rPr>
                      <w:rFonts w:hint="eastAsia" w:ascii="Times New Roman" w:hAnsi="Times New Roman" w:eastAsia="宋体" w:cs="Times New Roman"/>
                      <w:snapToGrid w:val="0"/>
                      <w:sz w:val="21"/>
                      <w:szCs w:val="21"/>
                      <w:lang w:val="en-US" w:eastAsia="zh-CN"/>
                    </w:rPr>
                    <w:t>每天8h</w:t>
                  </w:r>
                  <w:r>
                    <w:rPr>
                      <w:rFonts w:hint="eastAsia" w:cs="Times New Roman"/>
                      <w:snapToGrid w:val="0"/>
                      <w:sz w:val="21"/>
                      <w:szCs w:val="21"/>
                      <w:lang w:val="en-US" w:eastAsia="zh-CN"/>
                    </w:rPr>
                    <w:t>，</w:t>
                  </w:r>
                  <w:r>
                    <w:rPr>
                      <w:rFonts w:hint="eastAsia"/>
                      <w:color w:val="000000"/>
                      <w:kern w:val="24"/>
                      <w:sz w:val="21"/>
                      <w:szCs w:val="21"/>
                      <w:lang w:val="en-US" w:eastAsia="zh-CN"/>
                    </w:rPr>
                    <w:t>用水</w:t>
                  </w:r>
                  <w:r>
                    <w:rPr>
                      <w:rFonts w:hint="eastAsia"/>
                      <w:sz w:val="21"/>
                      <w:szCs w:val="21"/>
                      <w:lang w:val="en-US" w:eastAsia="zh-CN"/>
                    </w:rPr>
                    <w:t>6.4</w:t>
                  </w:r>
                  <w:r>
                    <w:rPr>
                      <w:rFonts w:hint="eastAsia"/>
                      <w:color w:val="000000"/>
                      <w:kern w:val="24"/>
                      <w:sz w:val="21"/>
                      <w:szCs w:val="21"/>
                    </w:rPr>
                    <w:t>m</w:t>
                  </w:r>
                  <w:r>
                    <w:rPr>
                      <w:rFonts w:hint="eastAsia"/>
                      <w:color w:val="000000"/>
                      <w:kern w:val="24"/>
                      <w:sz w:val="21"/>
                      <w:szCs w:val="21"/>
                      <w:vertAlign w:val="superscript"/>
                    </w:rPr>
                    <w:t>3</w:t>
                  </w:r>
                  <w:r>
                    <w:rPr>
                      <w:rFonts w:hint="default" w:ascii="Times New Roman" w:hAnsi="Times New Roman" w:eastAsia="宋体" w:cs="Times New Roman"/>
                      <w:snapToGrid w:val="0"/>
                      <w:sz w:val="21"/>
                      <w:szCs w:val="21"/>
                    </w:rPr>
                    <w:t>/</w:t>
                  </w:r>
                  <w:r>
                    <w:rPr>
                      <w:rFonts w:hint="eastAsia" w:ascii="Times New Roman" w:hAnsi="Times New Roman" w:eastAsia="宋体" w:cs="Times New Roman"/>
                      <w:snapToGrid w:val="0"/>
                      <w:sz w:val="21"/>
                      <w:szCs w:val="21"/>
                      <w:lang w:val="en-US" w:eastAsia="zh-CN"/>
                    </w:rPr>
                    <w:t>d</w:t>
                  </w:r>
                </w:p>
              </w:tc>
              <w:tc>
                <w:tcPr>
                  <w:tcW w:w="530" w:type="pct"/>
                  <w:tcBorders>
                    <w:tl2br w:val="nil"/>
                    <w:tr2bl w:val="nil"/>
                  </w:tcBorders>
                  <w:noWrap w:val="0"/>
                  <w:vAlign w:val="center"/>
                </w:tcPr>
                <w:p w14:paraId="0F862967">
                  <w:pPr>
                    <w:autoSpaceDE w:val="0"/>
                    <w:autoSpaceDN w:val="0"/>
                    <w:jc w:val="center"/>
                    <w:rPr>
                      <w:rFonts w:hint="default" w:eastAsia="宋体"/>
                      <w:color w:val="000000"/>
                      <w:kern w:val="24"/>
                      <w:sz w:val="21"/>
                      <w:szCs w:val="21"/>
                      <w:lang w:val="en-US" w:eastAsia="zh-CN"/>
                    </w:rPr>
                  </w:pPr>
                  <w:r>
                    <w:rPr>
                      <w:rFonts w:hint="eastAsia"/>
                      <w:color w:val="000000"/>
                      <w:kern w:val="24"/>
                      <w:sz w:val="21"/>
                      <w:szCs w:val="21"/>
                      <w:lang w:val="en-US" w:eastAsia="zh-CN"/>
                    </w:rPr>
                    <w:t>6.4</w:t>
                  </w:r>
                </w:p>
              </w:tc>
              <w:tc>
                <w:tcPr>
                  <w:tcW w:w="609" w:type="pct"/>
                  <w:tcBorders>
                    <w:tl2br w:val="nil"/>
                    <w:tr2bl w:val="nil"/>
                  </w:tcBorders>
                  <w:noWrap w:val="0"/>
                  <w:vAlign w:val="center"/>
                </w:tcPr>
                <w:p w14:paraId="0C95B65B">
                  <w:pPr>
                    <w:jc w:val="center"/>
                    <w:rPr>
                      <w:color w:val="000000"/>
                      <w:kern w:val="24"/>
                      <w:sz w:val="21"/>
                      <w:szCs w:val="21"/>
                    </w:rPr>
                  </w:pPr>
                  <w:r>
                    <w:rPr>
                      <w:rFonts w:hint="eastAsia"/>
                      <w:color w:val="000000"/>
                      <w:kern w:val="24"/>
                      <w:sz w:val="21"/>
                      <w:szCs w:val="21"/>
                      <w:lang w:val="en-US" w:eastAsia="zh-CN"/>
                    </w:rPr>
                    <w:t>9</w:t>
                  </w:r>
                  <w:r>
                    <w:rPr>
                      <w:color w:val="000000"/>
                      <w:kern w:val="24"/>
                      <w:sz w:val="21"/>
                      <w:szCs w:val="21"/>
                    </w:rPr>
                    <w:t>0%</w:t>
                  </w:r>
                </w:p>
              </w:tc>
              <w:tc>
                <w:tcPr>
                  <w:tcW w:w="494" w:type="pct"/>
                  <w:tcBorders>
                    <w:tl2br w:val="nil"/>
                    <w:tr2bl w:val="nil"/>
                  </w:tcBorders>
                  <w:noWrap w:val="0"/>
                  <w:vAlign w:val="center"/>
                </w:tcPr>
                <w:p w14:paraId="6CED7F94">
                  <w:pPr>
                    <w:jc w:val="center"/>
                    <w:rPr>
                      <w:rFonts w:hint="default" w:eastAsia="宋体"/>
                      <w:color w:val="000000"/>
                      <w:sz w:val="21"/>
                      <w:szCs w:val="21"/>
                      <w:lang w:val="en-US" w:eastAsia="zh-CN"/>
                    </w:rPr>
                  </w:pPr>
                  <w:r>
                    <w:rPr>
                      <w:rFonts w:hint="eastAsia"/>
                      <w:color w:val="000000"/>
                      <w:sz w:val="21"/>
                      <w:szCs w:val="21"/>
                      <w:lang w:val="en-US" w:eastAsia="zh-CN"/>
                    </w:rPr>
                    <w:t>/</w:t>
                  </w:r>
                </w:p>
              </w:tc>
            </w:tr>
            <w:tr w14:paraId="22261A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8" w:type="pct"/>
                  <w:tcBorders>
                    <w:tl2br w:val="nil"/>
                    <w:tr2bl w:val="nil"/>
                  </w:tcBorders>
                  <w:noWrap w:val="0"/>
                  <w:vAlign w:val="center"/>
                </w:tcPr>
                <w:p w14:paraId="21883ABE">
                  <w:pPr>
                    <w:autoSpaceDE w:val="0"/>
                    <w:autoSpaceDN w:val="0"/>
                    <w:jc w:val="center"/>
                    <w:rPr>
                      <w:color w:val="000000"/>
                      <w:sz w:val="21"/>
                      <w:szCs w:val="21"/>
                    </w:rPr>
                  </w:pPr>
                  <w:r>
                    <w:rPr>
                      <w:color w:val="000000"/>
                      <w:sz w:val="21"/>
                      <w:szCs w:val="21"/>
                    </w:rPr>
                    <w:t>总计</w:t>
                  </w:r>
                </w:p>
              </w:tc>
              <w:tc>
                <w:tcPr>
                  <w:tcW w:w="2227" w:type="pct"/>
                  <w:tcBorders>
                    <w:tl2br w:val="nil"/>
                    <w:tr2bl w:val="nil"/>
                  </w:tcBorders>
                  <w:noWrap w:val="0"/>
                  <w:vAlign w:val="center"/>
                </w:tcPr>
                <w:p w14:paraId="22B3341D">
                  <w:pPr>
                    <w:autoSpaceDE w:val="0"/>
                    <w:autoSpaceDN w:val="0"/>
                    <w:jc w:val="center"/>
                    <w:rPr>
                      <w:color w:val="000000"/>
                      <w:sz w:val="21"/>
                      <w:szCs w:val="21"/>
                    </w:rPr>
                  </w:pPr>
                  <w:r>
                    <w:rPr>
                      <w:color w:val="000000"/>
                      <w:sz w:val="21"/>
                      <w:szCs w:val="21"/>
                    </w:rPr>
                    <w:t>/</w:t>
                  </w:r>
                </w:p>
              </w:tc>
              <w:tc>
                <w:tcPr>
                  <w:tcW w:w="530" w:type="pct"/>
                  <w:tcBorders>
                    <w:tl2br w:val="nil"/>
                    <w:tr2bl w:val="nil"/>
                  </w:tcBorders>
                  <w:noWrap w:val="0"/>
                  <w:vAlign w:val="center"/>
                </w:tcPr>
                <w:p w14:paraId="28FB37A4">
                  <w:pPr>
                    <w:autoSpaceDE w:val="0"/>
                    <w:autoSpaceDN w:val="0"/>
                    <w:jc w:val="center"/>
                    <w:rPr>
                      <w:rFonts w:hint="default" w:eastAsia="宋体"/>
                      <w:color w:val="000000"/>
                      <w:sz w:val="21"/>
                      <w:szCs w:val="21"/>
                      <w:lang w:val="en-US" w:eastAsia="zh-CN"/>
                    </w:rPr>
                  </w:pPr>
                  <w:r>
                    <w:rPr>
                      <w:rFonts w:hint="eastAsia"/>
                      <w:color w:val="000000"/>
                      <w:sz w:val="21"/>
                      <w:szCs w:val="21"/>
                      <w:lang w:val="en-US" w:eastAsia="zh-CN"/>
                    </w:rPr>
                    <w:t>8.325</w:t>
                  </w:r>
                </w:p>
              </w:tc>
              <w:tc>
                <w:tcPr>
                  <w:tcW w:w="609" w:type="pct"/>
                  <w:tcBorders>
                    <w:tl2br w:val="nil"/>
                    <w:tr2bl w:val="nil"/>
                  </w:tcBorders>
                  <w:noWrap w:val="0"/>
                  <w:vAlign w:val="center"/>
                </w:tcPr>
                <w:p w14:paraId="2FDF510F">
                  <w:pPr>
                    <w:autoSpaceDE w:val="0"/>
                    <w:autoSpaceDN w:val="0"/>
                    <w:jc w:val="center"/>
                    <w:rPr>
                      <w:color w:val="000000"/>
                      <w:kern w:val="24"/>
                      <w:sz w:val="21"/>
                      <w:szCs w:val="21"/>
                    </w:rPr>
                  </w:pPr>
                  <w:r>
                    <w:rPr>
                      <w:rFonts w:hint="eastAsia"/>
                      <w:color w:val="000000"/>
                      <w:kern w:val="24"/>
                      <w:sz w:val="21"/>
                      <w:szCs w:val="21"/>
                    </w:rPr>
                    <w:t>--</w:t>
                  </w:r>
                </w:p>
              </w:tc>
              <w:tc>
                <w:tcPr>
                  <w:tcW w:w="494" w:type="pct"/>
                  <w:tcBorders>
                    <w:tl2br w:val="nil"/>
                    <w:tr2bl w:val="nil"/>
                  </w:tcBorders>
                  <w:noWrap w:val="0"/>
                  <w:vAlign w:val="center"/>
                </w:tcPr>
                <w:p w14:paraId="09766775">
                  <w:pPr>
                    <w:autoSpaceDE w:val="0"/>
                    <w:autoSpaceDN w:val="0"/>
                    <w:jc w:val="center"/>
                    <w:rPr>
                      <w:rFonts w:hint="default" w:eastAsia="宋体"/>
                      <w:color w:val="000000"/>
                      <w:kern w:val="24"/>
                      <w:sz w:val="21"/>
                      <w:szCs w:val="21"/>
                      <w:lang w:val="en-US" w:eastAsia="zh-CN"/>
                    </w:rPr>
                  </w:pPr>
                  <w:r>
                    <w:rPr>
                      <w:rFonts w:hint="eastAsia"/>
                      <w:color w:val="000000"/>
                      <w:kern w:val="24"/>
                      <w:sz w:val="21"/>
                      <w:szCs w:val="21"/>
                      <w:lang w:val="en-US" w:eastAsia="zh-CN"/>
                    </w:rPr>
                    <w:t>0.9</w:t>
                  </w:r>
                </w:p>
              </w:tc>
            </w:tr>
          </w:tbl>
          <w:p w14:paraId="6C69DD09">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项目的水量平衡图见下图</w:t>
            </w:r>
            <w:r>
              <w:rPr>
                <w:rFonts w:hint="eastAsia" w:ascii="Times New Roman" w:hAnsi="Times New Roman" w:cs="Times New Roman"/>
                <w:color w:val="auto"/>
                <w:sz w:val="24"/>
                <w:szCs w:val="24"/>
                <w:lang w:val="en-US" w:eastAsia="zh-CN"/>
              </w:rPr>
              <w:t>2-1</w:t>
            </w:r>
            <w:r>
              <w:rPr>
                <w:rFonts w:hint="default" w:ascii="Times New Roman" w:hAnsi="Times New Roman" w:cs="Times New Roman"/>
                <w:color w:val="auto"/>
                <w:sz w:val="24"/>
                <w:szCs w:val="24"/>
              </w:rPr>
              <w:t>。</w:t>
            </w:r>
          </w:p>
          <w:p w14:paraId="36817EFF">
            <w:pPr>
              <w:pStyle w:val="9"/>
              <w:jc w:val="center"/>
              <w:rPr>
                <w:rFonts w:hint="eastAsia"/>
                <w:color w:val="auto"/>
                <w:sz w:val="24"/>
                <w:szCs w:val="24"/>
                <w:lang w:val="en-US" w:eastAsia="zh-CN"/>
              </w:rPr>
            </w:pPr>
            <w:r>
              <w:rPr>
                <w:rFonts w:hint="eastAsia" w:ascii="Times New Roman" w:hAnsi="Times New Roman" w:eastAsia="宋体" w:cs="Times New Roman"/>
                <w:b/>
                <w:bCs w:val="0"/>
                <w:kern w:val="2"/>
                <w:sz w:val="24"/>
                <w:szCs w:val="24"/>
                <w:lang w:eastAsia="zh-CN"/>
              </w:rPr>
              <w:object>
                <v:shape id="_x0000_i1025" o:spt="75" type="#_x0000_t75" style="height:241.95pt;width:382.5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14:paraId="1AE6FAD5">
            <w:pPr>
              <w:pStyle w:val="16"/>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center"/>
              <w:textAlignment w:val="baseline"/>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bCs w:val="0"/>
                <w:color w:val="auto"/>
                <w:kern w:val="2"/>
                <w:sz w:val="21"/>
                <w:szCs w:val="21"/>
                <w:lang w:val="en-US" w:eastAsia="zh-CN" w:bidi="ar"/>
              </w:rPr>
              <w:t>图2-1  项目用排水量平衡</w:t>
            </w:r>
            <w:r>
              <w:rPr>
                <w:rFonts w:hint="default" w:ascii="Times New Roman" w:hAnsi="Times New Roman" w:eastAsia="宋体" w:cs="Times New Roman"/>
                <w:b/>
                <w:bCs w:val="0"/>
                <w:color w:val="auto"/>
                <w:kern w:val="2"/>
                <w:sz w:val="21"/>
                <w:szCs w:val="21"/>
                <w:highlight w:val="none"/>
                <w:lang w:val="en-US" w:eastAsia="zh-CN" w:bidi="ar"/>
              </w:rPr>
              <w:t>图（单位：m</w:t>
            </w:r>
            <w:r>
              <w:rPr>
                <w:rFonts w:hint="default" w:ascii="Times New Roman" w:hAnsi="Times New Roman" w:eastAsia="宋体" w:cs="Times New Roman"/>
                <w:b/>
                <w:bCs w:val="0"/>
                <w:color w:val="auto"/>
                <w:kern w:val="2"/>
                <w:sz w:val="21"/>
                <w:szCs w:val="21"/>
                <w:highlight w:val="none"/>
                <w:vertAlign w:val="superscript"/>
                <w:lang w:val="en-US" w:eastAsia="zh-CN" w:bidi="ar"/>
              </w:rPr>
              <w:t>3</w:t>
            </w:r>
            <w:r>
              <w:rPr>
                <w:rFonts w:hint="default" w:ascii="Times New Roman" w:hAnsi="Times New Roman" w:eastAsia="宋体" w:cs="Times New Roman"/>
                <w:b/>
                <w:bCs w:val="0"/>
                <w:color w:val="auto"/>
                <w:kern w:val="2"/>
                <w:sz w:val="21"/>
                <w:szCs w:val="21"/>
                <w:highlight w:val="none"/>
                <w:lang w:val="en-US" w:eastAsia="zh-CN" w:bidi="ar"/>
              </w:rPr>
              <w:t>/d</w:t>
            </w:r>
            <w:r>
              <w:rPr>
                <w:rFonts w:hint="default" w:ascii="Times New Roman" w:hAnsi="Times New Roman" w:eastAsia="宋体" w:cs="Times New Roman"/>
                <w:b/>
                <w:bCs w:val="0"/>
                <w:color w:val="auto"/>
                <w:kern w:val="2"/>
                <w:sz w:val="24"/>
                <w:szCs w:val="24"/>
                <w:highlight w:val="none"/>
                <w:lang w:val="en-US" w:eastAsia="zh-CN" w:bidi="ar"/>
              </w:rPr>
              <w:t>）</w:t>
            </w:r>
          </w:p>
          <w:p w14:paraId="04C261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
              </w:rPr>
            </w:pPr>
            <w:r>
              <w:rPr>
                <w:rFonts w:hint="eastAsia" w:cs="Times New Roman"/>
                <w:color w:val="auto"/>
                <w:kern w:val="2"/>
                <w:sz w:val="24"/>
                <w:szCs w:val="24"/>
                <w:highlight w:val="none"/>
                <w:lang w:val="en-US" w:eastAsia="zh-CN" w:bidi="ar"/>
              </w:rPr>
              <w:t>因此项目年用水量为2497.5m</w:t>
            </w:r>
            <w:r>
              <w:rPr>
                <w:rFonts w:hint="eastAsia" w:cs="Times New Roman"/>
                <w:color w:val="auto"/>
                <w:kern w:val="2"/>
                <w:sz w:val="24"/>
                <w:szCs w:val="24"/>
                <w:highlight w:val="none"/>
                <w:vertAlign w:val="superscript"/>
                <w:lang w:val="en-US" w:eastAsia="zh-CN" w:bidi="ar"/>
              </w:rPr>
              <w:t>3</w:t>
            </w:r>
            <w:r>
              <w:rPr>
                <w:rFonts w:hint="eastAsia" w:cs="Times New Roman"/>
                <w:color w:val="auto"/>
                <w:kern w:val="2"/>
                <w:sz w:val="24"/>
                <w:szCs w:val="24"/>
                <w:highlight w:val="none"/>
                <w:lang w:val="en-US" w:eastAsia="zh-CN" w:bidi="ar"/>
              </w:rPr>
              <w:t>/a，生产废水中打磨用水及清洗用水处理后循环使用，排放的只有生活污水，排水量270m</w:t>
            </w:r>
            <w:r>
              <w:rPr>
                <w:rFonts w:hint="eastAsia" w:cs="Times New Roman"/>
                <w:color w:val="auto"/>
                <w:kern w:val="2"/>
                <w:sz w:val="24"/>
                <w:szCs w:val="24"/>
                <w:highlight w:val="none"/>
                <w:vertAlign w:val="superscript"/>
                <w:lang w:val="en-US" w:eastAsia="zh-CN" w:bidi="ar"/>
              </w:rPr>
              <w:t>3</w:t>
            </w:r>
            <w:r>
              <w:rPr>
                <w:rFonts w:hint="eastAsia" w:cs="Times New Roman"/>
                <w:color w:val="auto"/>
                <w:kern w:val="2"/>
                <w:sz w:val="24"/>
                <w:szCs w:val="24"/>
                <w:highlight w:val="none"/>
                <w:lang w:val="en-US" w:eastAsia="zh-CN" w:bidi="ar"/>
              </w:rPr>
              <w:t>/a。</w:t>
            </w:r>
          </w:p>
          <w:p w14:paraId="23905E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t>（2）供电</w:t>
            </w:r>
          </w:p>
          <w:p w14:paraId="1AD67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kern w:val="2"/>
                <w:sz w:val="24"/>
                <w:szCs w:val="24"/>
                <w:highlight w:val="none"/>
                <w:lang w:val="en-US" w:eastAsia="zh-CN" w:bidi="ar"/>
              </w:rPr>
            </w:pPr>
            <w:r>
              <w:rPr>
                <w:rFonts w:hint="default" w:ascii="Times New Roman" w:hAnsi="Times New Roman" w:eastAsia="宋体" w:cs="Times New Roman"/>
                <w:kern w:val="2"/>
                <w:sz w:val="24"/>
                <w:szCs w:val="24"/>
                <w:highlight w:val="none"/>
                <w:lang w:val="en-US" w:eastAsia="zh-CN" w:bidi="ar"/>
              </w:rPr>
              <w:t>项目供电为当地</w:t>
            </w:r>
            <w:r>
              <w:rPr>
                <w:rFonts w:ascii="宋体" w:hAnsi="宋体"/>
                <w:color w:val="auto"/>
                <w:sz w:val="24"/>
                <w:szCs w:val="24"/>
                <w:highlight w:val="none"/>
              </w:rPr>
              <w:t>供电管网统一供给</w:t>
            </w:r>
            <w:r>
              <w:rPr>
                <w:rFonts w:hint="default" w:ascii="Times New Roman" w:hAnsi="Times New Roman" w:eastAsia="宋体" w:cs="Times New Roman"/>
                <w:kern w:val="2"/>
                <w:sz w:val="24"/>
                <w:szCs w:val="24"/>
                <w:highlight w:val="none"/>
                <w:lang w:val="en-US" w:eastAsia="zh-CN" w:bidi="ar"/>
              </w:rPr>
              <w:t>，年用电量</w:t>
            </w:r>
            <w:r>
              <w:rPr>
                <w:rFonts w:hint="eastAsia" w:cs="Times New Roman"/>
                <w:kern w:val="2"/>
                <w:sz w:val="24"/>
                <w:szCs w:val="24"/>
                <w:highlight w:val="none"/>
                <w:lang w:val="en-US" w:eastAsia="zh-CN" w:bidi="ar"/>
              </w:rPr>
              <w:t>150</w:t>
            </w:r>
            <w:r>
              <w:rPr>
                <w:rFonts w:hint="default" w:ascii="Times New Roman" w:hAnsi="Times New Roman" w:eastAsia="宋体" w:cs="Times New Roman"/>
                <w:kern w:val="2"/>
                <w:sz w:val="24"/>
                <w:szCs w:val="24"/>
                <w:highlight w:val="none"/>
                <w:lang w:val="en-US" w:eastAsia="zh-CN" w:bidi="ar"/>
              </w:rPr>
              <w:t>万kWh</w:t>
            </w:r>
            <w:r>
              <w:rPr>
                <w:rFonts w:hint="eastAsia" w:cs="Times New Roman"/>
                <w:kern w:val="2"/>
                <w:sz w:val="24"/>
                <w:szCs w:val="24"/>
                <w:highlight w:val="none"/>
                <w:lang w:val="en-US" w:eastAsia="zh-CN" w:bidi="ar"/>
              </w:rPr>
              <w:t>。</w:t>
            </w:r>
          </w:p>
          <w:p w14:paraId="68B58637">
            <w:pPr>
              <w:keepNext w:val="0"/>
              <w:keepLines w:val="0"/>
              <w:pageBreakBefore w:val="0"/>
              <w:widowControl/>
              <w:suppressLineNumbers w:val="0"/>
              <w:kinsoku/>
              <w:wordWrap/>
              <w:overflowPunct/>
              <w:topLinePunct w:val="0"/>
              <w:bidi w:val="0"/>
              <w:adjustRightInd w:val="0"/>
              <w:snapToGrid w:val="0"/>
              <w:spacing w:line="360" w:lineRule="auto"/>
              <w:jc w:val="left"/>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、工作制度及劳动定员</w:t>
            </w:r>
          </w:p>
          <w:p w14:paraId="6D44F5F1">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劳动定员：职工</w:t>
            </w:r>
            <w:r>
              <w:rPr>
                <w:rFonts w:hint="default" w:ascii="Times New Roman" w:hAnsi="Times New Roman" w:cs="Times New Roman"/>
                <w:color w:val="auto"/>
                <w:sz w:val="24"/>
                <w:szCs w:val="24"/>
                <w:lang w:val="en-US" w:eastAsia="zh-CN"/>
              </w:rPr>
              <w:t>劳动定员人</w:t>
            </w:r>
            <w:r>
              <w:rPr>
                <w:rFonts w:hint="default" w:ascii="Times New Roman" w:hAnsi="Times New Roman" w:cs="Times New Roman"/>
                <w:color w:val="auto"/>
                <w:sz w:val="24"/>
                <w:szCs w:val="24"/>
              </w:rPr>
              <w:t>数为</w:t>
            </w:r>
            <w:r>
              <w:rPr>
                <w:rFonts w:hint="default"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人。</w:t>
            </w:r>
            <w:r>
              <w:rPr>
                <w:rFonts w:hint="default" w:ascii="Times New Roman" w:hAnsi="Times New Roman" w:cs="Times New Roman"/>
                <w:color w:val="auto"/>
                <w:sz w:val="24"/>
                <w:szCs w:val="24"/>
                <w:lang w:val="en-US" w:eastAsia="zh-CN"/>
              </w:rPr>
              <w:t>不在厂区内食宿</w:t>
            </w:r>
            <w:r>
              <w:rPr>
                <w:rFonts w:hint="eastAsia" w:cs="Times New Roman"/>
                <w:color w:val="auto"/>
                <w:sz w:val="24"/>
                <w:szCs w:val="24"/>
                <w:lang w:val="en-US" w:eastAsia="zh-CN"/>
              </w:rPr>
              <w:t>、淋浴</w:t>
            </w:r>
            <w:r>
              <w:rPr>
                <w:rFonts w:hint="default" w:ascii="Times New Roman" w:hAnsi="Times New Roman" w:eastAsia="宋体" w:cs="Times New Roman"/>
                <w:color w:val="auto"/>
                <w:sz w:val="24"/>
                <w:szCs w:val="24"/>
              </w:rPr>
              <w:t>。</w:t>
            </w:r>
          </w:p>
          <w:p w14:paraId="2E9BF26F">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工作制度：</w:t>
            </w:r>
            <w:r>
              <w:rPr>
                <w:rFonts w:hint="default" w:ascii="Times New Roman" w:hAnsi="Times New Roman" w:cs="Times New Roman"/>
                <w:color w:val="auto"/>
                <w:sz w:val="24"/>
                <w:szCs w:val="24"/>
              </w:rPr>
              <w:t>年工作时间300天，</w:t>
            </w:r>
            <w:r>
              <w:rPr>
                <w:rFonts w:hint="default" w:ascii="Times New Roman" w:hAnsi="Times New Roman" w:cs="Times New Roman"/>
                <w:color w:val="auto"/>
                <w:sz w:val="24"/>
                <w:szCs w:val="24"/>
                <w:lang w:eastAsia="zh-CN"/>
              </w:rPr>
              <w:t>钢化工序</w:t>
            </w:r>
            <w:r>
              <w:rPr>
                <w:rFonts w:hint="default" w:ascii="Times New Roman" w:hAnsi="Times New Roman" w:cs="Times New Roman"/>
                <w:color w:val="auto"/>
                <w:sz w:val="24"/>
                <w:szCs w:val="24"/>
              </w:rPr>
              <w:t>实行</w:t>
            </w:r>
            <w:r>
              <w:rPr>
                <w:rFonts w:hint="default" w:ascii="Times New Roman" w:hAnsi="Times New Roman" w:cs="Times New Roman"/>
                <w:color w:val="auto"/>
                <w:sz w:val="24"/>
                <w:szCs w:val="24"/>
                <w:lang w:eastAsia="zh-CN"/>
              </w:rPr>
              <w:t>双班制，其他工序</w:t>
            </w:r>
            <w:r>
              <w:rPr>
                <w:rFonts w:hint="default" w:ascii="Times New Roman" w:hAnsi="Times New Roman" w:cs="Times New Roman"/>
                <w:color w:val="auto"/>
                <w:sz w:val="24"/>
                <w:szCs w:val="24"/>
              </w:rPr>
              <w:t>实行</w:t>
            </w:r>
            <w:r>
              <w:rPr>
                <w:rFonts w:hint="default" w:ascii="Times New Roman" w:hAnsi="Times New Roman" w:cs="Times New Roman"/>
                <w:color w:val="auto"/>
                <w:sz w:val="24"/>
                <w:szCs w:val="24"/>
                <w:lang w:val="en-US" w:eastAsia="zh-CN"/>
              </w:rPr>
              <w:t>单</w:t>
            </w:r>
            <w:r>
              <w:rPr>
                <w:rFonts w:hint="default" w:ascii="Times New Roman" w:hAnsi="Times New Roman" w:cs="Times New Roman"/>
                <w:color w:val="auto"/>
                <w:sz w:val="24"/>
                <w:szCs w:val="24"/>
              </w:rPr>
              <w:t>班制，每班工作8小时</w:t>
            </w:r>
            <w:r>
              <w:rPr>
                <w:rFonts w:hint="default" w:ascii="Times New Roman" w:hAnsi="Times New Roman" w:eastAsia="宋体" w:cs="Times New Roman"/>
                <w:color w:val="auto"/>
                <w:sz w:val="24"/>
                <w:szCs w:val="24"/>
              </w:rPr>
              <w:t>。</w:t>
            </w:r>
          </w:p>
          <w:p w14:paraId="7E0BC82A">
            <w:pPr>
              <w:keepNext w:val="0"/>
              <w:keepLines w:val="0"/>
              <w:pageBreakBefore w:val="0"/>
              <w:widowControl/>
              <w:suppressLineNumbers w:val="0"/>
              <w:kinsoku/>
              <w:wordWrap/>
              <w:overflowPunct/>
              <w:topLinePunct w:val="0"/>
              <w:bidi w:val="0"/>
              <w:adjustRightInd w:val="0"/>
              <w:snapToGrid w:val="0"/>
              <w:spacing w:line="360" w:lineRule="auto"/>
              <w:jc w:val="left"/>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9</w:t>
            </w:r>
            <w:r>
              <w:rPr>
                <w:rFonts w:hint="default" w:ascii="Times New Roman" w:hAnsi="Times New Roman" w:eastAsia="宋体" w:cs="Times New Roman"/>
                <w:b/>
                <w:bCs/>
                <w:color w:val="auto"/>
                <w:sz w:val="24"/>
                <w:szCs w:val="24"/>
                <w:lang w:val="en-US" w:eastAsia="zh-CN"/>
              </w:rPr>
              <w:t>、厂区平面布置简述</w:t>
            </w:r>
          </w:p>
          <w:p w14:paraId="4BE97AFB">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ascii="宋体" w:hAnsi="宋体"/>
                <w:color w:val="auto"/>
                <w:sz w:val="24"/>
                <w:szCs w:val="24"/>
              </w:rPr>
              <w:t>本项目设计根据生产性质及建设规模，并结合场地自然条件及现状进行总平面布置。力求总图布局合理，运输线路短捷、顺畅。本项目</w:t>
            </w:r>
            <w:r>
              <w:rPr>
                <w:rFonts w:hint="eastAsia" w:ascii="宋体" w:hAnsi="宋体"/>
                <w:color w:val="auto"/>
                <w:sz w:val="24"/>
                <w:szCs w:val="24"/>
                <w:lang w:val="en-US" w:eastAsia="zh-CN"/>
              </w:rPr>
              <w:t>在</w:t>
            </w:r>
            <w:r>
              <w:rPr>
                <w:rFonts w:hint="eastAsia" w:cs="Times New Roman"/>
                <w:color w:val="auto"/>
                <w:sz w:val="24"/>
                <w:szCs w:val="24"/>
                <w:lang w:eastAsia="zh-CN"/>
              </w:rPr>
              <w:t>租赁厂</w:t>
            </w:r>
            <w:r>
              <w:rPr>
                <w:rFonts w:hint="eastAsia" w:cs="Times New Roman"/>
                <w:color w:val="auto"/>
                <w:sz w:val="24"/>
                <w:szCs w:val="24"/>
                <w:highlight w:val="none"/>
                <w:lang w:eastAsia="zh-CN"/>
              </w:rPr>
              <w:t>房内</w:t>
            </w:r>
            <w:r>
              <w:rPr>
                <w:rFonts w:hint="eastAsia" w:ascii="宋体" w:hAnsi="宋体"/>
                <w:color w:val="auto"/>
                <w:sz w:val="24"/>
                <w:szCs w:val="24"/>
                <w:highlight w:val="none"/>
                <w:lang w:val="en-US" w:eastAsia="zh-CN"/>
              </w:rPr>
              <w:t>，厂房为钢架结构，设置一条</w:t>
            </w:r>
            <w:r>
              <w:rPr>
                <w:rFonts w:hint="eastAsia" w:cs="Times New Roman"/>
                <w:color w:val="auto"/>
                <w:sz w:val="24"/>
                <w:szCs w:val="24"/>
                <w:highlight w:val="none"/>
                <w:lang w:val="en-US" w:eastAsia="zh-CN"/>
              </w:rPr>
              <w:t>钢化玻璃</w:t>
            </w:r>
            <w:r>
              <w:rPr>
                <w:rFonts w:hint="eastAsia" w:ascii="宋体" w:hAnsi="宋体"/>
                <w:color w:val="auto"/>
                <w:sz w:val="24"/>
                <w:szCs w:val="24"/>
                <w:highlight w:val="none"/>
                <w:lang w:val="en-US" w:eastAsia="zh-CN"/>
              </w:rPr>
              <w:t>生产线和一条中空玻璃生产线。厂房北侧主要布置切割机、打磨机、清洗机、钢化炉等设备，厂房中间位置布置半成品库房以及玻璃胶库房。厂房南侧布置中空玻璃生产线以及成品库房，</w:t>
            </w:r>
            <w:r>
              <w:rPr>
                <w:rFonts w:ascii="宋体" w:hAnsi="宋体"/>
                <w:color w:val="auto"/>
                <w:sz w:val="24"/>
                <w:szCs w:val="24"/>
                <w:highlight w:val="none"/>
              </w:rPr>
              <w:t>平面布置有利于项目生产运行过程中各部门的生</w:t>
            </w:r>
            <w:r>
              <w:rPr>
                <w:rFonts w:hint="default" w:ascii="Times New Roman" w:hAnsi="Times New Roman" w:cs="Times New Roman"/>
                <w:color w:val="auto"/>
                <w:sz w:val="24"/>
                <w:szCs w:val="24"/>
                <w:highlight w:val="none"/>
              </w:rPr>
              <w:t>产协作，提高生产效率。总体来说，本项目的平面布置较为合理。平面布置详见附图</w:t>
            </w:r>
            <w:r>
              <w:rPr>
                <w:rFonts w:hint="default" w:ascii="Times New Roman" w:hAnsi="Times New Roman" w:cs="Times New Roman"/>
                <w:color w:val="auto"/>
                <w:sz w:val="24"/>
                <w:szCs w:val="24"/>
                <w:highlight w:val="none"/>
                <w:lang w:val="en-US" w:eastAsia="zh-CN"/>
              </w:rPr>
              <w:t>3。</w:t>
            </w:r>
          </w:p>
        </w:tc>
      </w:tr>
      <w:tr w14:paraId="516F3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dxa"/>
            <w:noWrap w:val="0"/>
            <w:vAlign w:val="center"/>
          </w:tcPr>
          <w:p w14:paraId="6382199A">
            <w:pPr>
              <w:pStyle w:val="16"/>
              <w:adjustRightInd w:val="0"/>
              <w:snapToGrid w:val="0"/>
              <w:spacing w:before="0" w:beforeAutospacing="0" w:after="0" w:afterAutospacing="0"/>
              <w:jc w:val="center"/>
              <w:rPr>
                <w:rFonts w:hint="eastAsia" w:cs="宋体"/>
                <w:color w:val="auto"/>
                <w:sz w:val="24"/>
                <w:szCs w:val="24"/>
                <w:lang w:val="en-US" w:eastAsia="zh-CN"/>
              </w:rPr>
            </w:pPr>
          </w:p>
          <w:p w14:paraId="6AD10112">
            <w:pPr>
              <w:pStyle w:val="16"/>
              <w:adjustRightInd w:val="0"/>
              <w:snapToGrid w:val="0"/>
              <w:spacing w:before="0" w:beforeAutospacing="0" w:after="0" w:afterAutospacing="0"/>
              <w:jc w:val="center"/>
              <w:rPr>
                <w:rFonts w:hint="eastAsia" w:cs="宋体"/>
                <w:color w:val="auto"/>
                <w:sz w:val="24"/>
                <w:szCs w:val="24"/>
                <w:lang w:val="en-US" w:eastAsia="zh-CN"/>
              </w:rPr>
            </w:pPr>
          </w:p>
          <w:p w14:paraId="0C57362B">
            <w:pPr>
              <w:pStyle w:val="16"/>
              <w:adjustRightInd w:val="0"/>
              <w:snapToGrid w:val="0"/>
              <w:spacing w:before="0" w:beforeAutospacing="0" w:after="0" w:afterAutospacing="0"/>
              <w:jc w:val="center"/>
              <w:rPr>
                <w:rFonts w:hint="eastAsia" w:cs="宋体"/>
                <w:color w:val="auto"/>
                <w:sz w:val="24"/>
                <w:szCs w:val="24"/>
                <w:lang w:val="en-US" w:eastAsia="zh-CN"/>
              </w:rPr>
            </w:pPr>
          </w:p>
          <w:p w14:paraId="5519D7E6">
            <w:pPr>
              <w:pStyle w:val="16"/>
              <w:adjustRightInd w:val="0"/>
              <w:snapToGrid w:val="0"/>
              <w:spacing w:before="0" w:beforeAutospacing="0" w:after="0" w:afterAutospacing="0"/>
              <w:jc w:val="center"/>
              <w:rPr>
                <w:rFonts w:hint="eastAsia" w:cs="宋体"/>
                <w:color w:val="auto"/>
                <w:sz w:val="24"/>
                <w:szCs w:val="24"/>
                <w:lang w:val="en-US" w:eastAsia="zh-CN"/>
              </w:rPr>
            </w:pPr>
          </w:p>
          <w:p w14:paraId="799C4C83">
            <w:pPr>
              <w:pStyle w:val="16"/>
              <w:adjustRightInd w:val="0"/>
              <w:snapToGrid w:val="0"/>
              <w:spacing w:before="0" w:beforeAutospacing="0" w:after="0" w:afterAutospacing="0"/>
              <w:jc w:val="center"/>
              <w:rPr>
                <w:rFonts w:hint="eastAsia" w:cs="宋体"/>
                <w:color w:val="auto"/>
                <w:sz w:val="24"/>
                <w:szCs w:val="24"/>
                <w:lang w:val="en-US" w:eastAsia="zh-CN"/>
              </w:rPr>
            </w:pPr>
          </w:p>
          <w:p w14:paraId="3D243D5F">
            <w:pPr>
              <w:pStyle w:val="16"/>
              <w:adjustRightInd w:val="0"/>
              <w:snapToGrid w:val="0"/>
              <w:spacing w:before="0" w:beforeAutospacing="0" w:after="0" w:afterAutospacing="0"/>
              <w:jc w:val="center"/>
              <w:rPr>
                <w:rFonts w:hint="eastAsia" w:cs="宋体"/>
                <w:color w:val="auto"/>
                <w:sz w:val="24"/>
                <w:szCs w:val="24"/>
                <w:lang w:val="en-US" w:eastAsia="zh-CN"/>
              </w:rPr>
            </w:pPr>
          </w:p>
          <w:p w14:paraId="50606B8A">
            <w:pPr>
              <w:pStyle w:val="16"/>
              <w:adjustRightInd w:val="0"/>
              <w:snapToGrid w:val="0"/>
              <w:spacing w:before="0" w:beforeAutospacing="0" w:after="0" w:afterAutospacing="0"/>
              <w:jc w:val="center"/>
              <w:rPr>
                <w:rFonts w:hint="eastAsia" w:cs="宋体"/>
                <w:color w:val="auto"/>
                <w:sz w:val="24"/>
                <w:szCs w:val="24"/>
                <w:lang w:val="en-US" w:eastAsia="zh-CN"/>
              </w:rPr>
            </w:pPr>
          </w:p>
          <w:p w14:paraId="34A3003A">
            <w:pPr>
              <w:pStyle w:val="16"/>
              <w:adjustRightInd w:val="0"/>
              <w:snapToGrid w:val="0"/>
              <w:spacing w:before="0" w:beforeAutospacing="0" w:after="0" w:afterAutospacing="0"/>
              <w:jc w:val="center"/>
              <w:rPr>
                <w:rFonts w:hint="eastAsia" w:cs="宋体"/>
                <w:color w:val="auto"/>
                <w:sz w:val="24"/>
                <w:szCs w:val="24"/>
                <w:lang w:val="en-US" w:eastAsia="zh-CN"/>
              </w:rPr>
            </w:pPr>
          </w:p>
          <w:p w14:paraId="3E9AA1DD">
            <w:pPr>
              <w:pStyle w:val="16"/>
              <w:adjustRightInd w:val="0"/>
              <w:snapToGrid w:val="0"/>
              <w:spacing w:before="0" w:beforeAutospacing="0" w:after="0" w:afterAutospacing="0"/>
              <w:jc w:val="center"/>
              <w:rPr>
                <w:rFonts w:hint="eastAsia" w:cs="宋体"/>
                <w:color w:val="auto"/>
                <w:sz w:val="24"/>
                <w:szCs w:val="24"/>
                <w:lang w:val="en-US" w:eastAsia="zh-CN"/>
              </w:rPr>
            </w:pPr>
          </w:p>
          <w:p w14:paraId="497CADA5">
            <w:pPr>
              <w:pStyle w:val="16"/>
              <w:adjustRightInd w:val="0"/>
              <w:snapToGrid w:val="0"/>
              <w:spacing w:before="0" w:beforeAutospacing="0" w:after="0" w:afterAutospacing="0"/>
              <w:jc w:val="center"/>
              <w:rPr>
                <w:rFonts w:hint="eastAsia" w:cs="宋体"/>
                <w:color w:val="auto"/>
                <w:sz w:val="24"/>
                <w:szCs w:val="24"/>
                <w:lang w:val="en-US" w:eastAsia="zh-CN"/>
              </w:rPr>
            </w:pPr>
          </w:p>
          <w:p w14:paraId="17585EB0">
            <w:pPr>
              <w:pStyle w:val="16"/>
              <w:adjustRightInd w:val="0"/>
              <w:snapToGrid w:val="0"/>
              <w:spacing w:before="0" w:beforeAutospacing="0" w:after="0" w:afterAutospacing="0"/>
              <w:jc w:val="center"/>
              <w:rPr>
                <w:rFonts w:hint="eastAsia" w:cs="宋体"/>
                <w:color w:val="auto"/>
                <w:sz w:val="24"/>
                <w:szCs w:val="24"/>
                <w:lang w:val="en-US" w:eastAsia="zh-CN"/>
              </w:rPr>
            </w:pPr>
          </w:p>
          <w:p w14:paraId="6FE1FCAE">
            <w:pPr>
              <w:pStyle w:val="16"/>
              <w:adjustRightInd w:val="0"/>
              <w:snapToGrid w:val="0"/>
              <w:spacing w:before="0" w:beforeAutospacing="0" w:after="0" w:afterAutospacing="0"/>
              <w:jc w:val="center"/>
              <w:rPr>
                <w:rFonts w:hint="eastAsia" w:cs="宋体"/>
                <w:color w:val="auto"/>
                <w:sz w:val="24"/>
                <w:szCs w:val="24"/>
                <w:lang w:val="en-US" w:eastAsia="zh-CN"/>
              </w:rPr>
            </w:pPr>
          </w:p>
          <w:p w14:paraId="1EBCCAFD">
            <w:pPr>
              <w:pStyle w:val="16"/>
              <w:adjustRightInd w:val="0"/>
              <w:snapToGrid w:val="0"/>
              <w:spacing w:before="0" w:beforeAutospacing="0" w:after="0" w:afterAutospacing="0"/>
              <w:jc w:val="center"/>
              <w:rPr>
                <w:rFonts w:hint="eastAsia" w:cs="宋体"/>
                <w:color w:val="auto"/>
                <w:sz w:val="24"/>
                <w:szCs w:val="24"/>
                <w:lang w:val="en-US" w:eastAsia="zh-CN"/>
              </w:rPr>
            </w:pPr>
          </w:p>
          <w:p w14:paraId="198BDBD6">
            <w:pPr>
              <w:pStyle w:val="16"/>
              <w:adjustRightInd w:val="0"/>
              <w:snapToGrid w:val="0"/>
              <w:spacing w:before="0" w:beforeAutospacing="0" w:after="0" w:afterAutospacing="0"/>
              <w:jc w:val="center"/>
              <w:rPr>
                <w:rFonts w:hint="eastAsia" w:cs="宋体"/>
                <w:color w:val="auto"/>
                <w:sz w:val="24"/>
                <w:szCs w:val="24"/>
                <w:lang w:val="en-US" w:eastAsia="zh-CN"/>
              </w:rPr>
            </w:pPr>
          </w:p>
          <w:p w14:paraId="653FBF06">
            <w:pPr>
              <w:pStyle w:val="16"/>
              <w:adjustRightInd w:val="0"/>
              <w:snapToGrid w:val="0"/>
              <w:spacing w:before="0" w:beforeAutospacing="0" w:after="0" w:afterAutospacing="0"/>
              <w:jc w:val="center"/>
              <w:rPr>
                <w:rFonts w:hint="eastAsia" w:cs="宋体"/>
                <w:color w:val="auto"/>
                <w:sz w:val="24"/>
                <w:szCs w:val="24"/>
                <w:lang w:val="en-US" w:eastAsia="zh-CN"/>
              </w:rPr>
            </w:pPr>
          </w:p>
          <w:p w14:paraId="57670838">
            <w:pPr>
              <w:pStyle w:val="16"/>
              <w:adjustRightInd w:val="0"/>
              <w:snapToGrid w:val="0"/>
              <w:spacing w:before="0" w:beforeAutospacing="0" w:after="0" w:afterAutospacing="0"/>
              <w:jc w:val="center"/>
              <w:rPr>
                <w:rFonts w:hint="eastAsia" w:cs="宋体"/>
                <w:color w:val="auto"/>
                <w:sz w:val="24"/>
                <w:szCs w:val="24"/>
                <w:lang w:val="en-US" w:eastAsia="zh-CN"/>
              </w:rPr>
            </w:pPr>
          </w:p>
          <w:p w14:paraId="202DB810">
            <w:pPr>
              <w:pStyle w:val="16"/>
              <w:adjustRightInd w:val="0"/>
              <w:snapToGrid w:val="0"/>
              <w:spacing w:before="0" w:beforeAutospacing="0" w:after="0" w:afterAutospacing="0"/>
              <w:jc w:val="center"/>
              <w:rPr>
                <w:rFonts w:hint="eastAsia" w:cs="宋体"/>
                <w:color w:val="auto"/>
                <w:sz w:val="24"/>
                <w:szCs w:val="24"/>
                <w:lang w:val="en-US" w:eastAsia="zh-CN"/>
              </w:rPr>
            </w:pPr>
          </w:p>
          <w:p w14:paraId="12C66753">
            <w:pPr>
              <w:pStyle w:val="16"/>
              <w:adjustRightInd w:val="0"/>
              <w:snapToGrid w:val="0"/>
              <w:spacing w:before="0" w:beforeAutospacing="0" w:after="0" w:afterAutospacing="0"/>
              <w:jc w:val="center"/>
              <w:rPr>
                <w:rFonts w:hint="eastAsia" w:cs="宋体"/>
                <w:color w:val="auto"/>
                <w:sz w:val="24"/>
                <w:szCs w:val="24"/>
                <w:lang w:val="en-US" w:eastAsia="zh-CN"/>
              </w:rPr>
            </w:pPr>
          </w:p>
          <w:p w14:paraId="4ACF8650">
            <w:pPr>
              <w:pStyle w:val="16"/>
              <w:adjustRightInd w:val="0"/>
              <w:snapToGrid w:val="0"/>
              <w:spacing w:before="0" w:beforeAutospacing="0" w:after="0" w:afterAutospacing="0"/>
              <w:jc w:val="center"/>
              <w:rPr>
                <w:rFonts w:hint="eastAsia" w:cs="宋体"/>
                <w:color w:val="auto"/>
                <w:sz w:val="24"/>
                <w:szCs w:val="24"/>
                <w:lang w:val="en-US" w:eastAsia="zh-CN"/>
              </w:rPr>
            </w:pPr>
          </w:p>
          <w:p w14:paraId="30DEA58C">
            <w:pPr>
              <w:pStyle w:val="16"/>
              <w:adjustRightInd w:val="0"/>
              <w:snapToGrid w:val="0"/>
              <w:spacing w:before="0" w:beforeAutospacing="0" w:after="0" w:afterAutospacing="0"/>
              <w:jc w:val="center"/>
              <w:rPr>
                <w:rFonts w:hint="eastAsia" w:cs="宋体"/>
                <w:color w:val="auto"/>
                <w:sz w:val="24"/>
                <w:szCs w:val="24"/>
                <w:lang w:val="en-US" w:eastAsia="zh-CN"/>
              </w:rPr>
            </w:pPr>
          </w:p>
          <w:p w14:paraId="120A7216">
            <w:pPr>
              <w:pStyle w:val="16"/>
              <w:adjustRightInd w:val="0"/>
              <w:snapToGrid w:val="0"/>
              <w:spacing w:before="0" w:beforeAutospacing="0" w:after="0" w:afterAutospacing="0"/>
              <w:jc w:val="center"/>
              <w:rPr>
                <w:rFonts w:hint="eastAsia" w:cs="宋体"/>
                <w:color w:val="auto"/>
                <w:sz w:val="24"/>
                <w:szCs w:val="24"/>
                <w:lang w:val="en-US" w:eastAsia="zh-CN"/>
              </w:rPr>
            </w:pPr>
          </w:p>
          <w:p w14:paraId="5CC11650">
            <w:pPr>
              <w:pStyle w:val="16"/>
              <w:adjustRightInd w:val="0"/>
              <w:snapToGrid w:val="0"/>
              <w:spacing w:before="0" w:beforeAutospacing="0" w:after="0" w:afterAutospacing="0"/>
              <w:jc w:val="center"/>
              <w:rPr>
                <w:rFonts w:cs="宋体"/>
                <w:color w:val="auto"/>
                <w:sz w:val="24"/>
                <w:szCs w:val="24"/>
                <w:lang w:val="en-US" w:eastAsia="zh-CN"/>
              </w:rPr>
            </w:pPr>
            <w:r>
              <w:rPr>
                <w:rFonts w:hint="eastAsia" w:cs="宋体"/>
                <w:color w:val="auto"/>
                <w:sz w:val="24"/>
                <w:szCs w:val="24"/>
                <w:lang w:val="en-US" w:eastAsia="zh-CN"/>
              </w:rPr>
              <w:t>工艺流程和产排污环节</w:t>
            </w:r>
          </w:p>
        </w:tc>
        <w:tc>
          <w:tcPr>
            <w:tcW w:w="9295" w:type="dxa"/>
            <w:noWrap w:val="0"/>
            <w:vAlign w:val="top"/>
          </w:tcPr>
          <w:p w14:paraId="1114DCA0">
            <w:pPr>
              <w:pStyle w:val="28"/>
              <w:numPr>
                <w:ilvl w:val="0"/>
                <w:numId w:val="5"/>
              </w:numPr>
              <w:rPr>
                <w:rFonts w:hint="eastAsia"/>
                <w:b/>
                <w:bCs w:val="0"/>
                <w:lang w:val="en-US" w:eastAsia="zh-CN"/>
              </w:rPr>
            </w:pPr>
            <w:r>
              <w:rPr>
                <w:rFonts w:hint="eastAsia"/>
                <w:b/>
                <w:bCs w:val="0"/>
                <w:lang w:val="en-US" w:eastAsia="zh-CN"/>
              </w:rPr>
              <w:t>钢化玻璃生产工艺流程</w:t>
            </w:r>
          </w:p>
          <w:p w14:paraId="44109148">
            <w:pPr>
              <w:pStyle w:val="30"/>
              <w:numPr>
                <w:ilvl w:val="0"/>
                <w:numId w:val="0"/>
              </w:numPr>
              <w:ind w:firstLine="240" w:firstLineChars="1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钢化玻璃</w:t>
            </w:r>
            <w:r>
              <w:rPr>
                <w:rFonts w:hint="default" w:ascii="Times New Roman" w:hAnsi="Times New Roman" w:eastAsia="宋体" w:cs="Times New Roman"/>
                <w:color w:val="auto"/>
                <w:kern w:val="2"/>
                <w:sz w:val="24"/>
                <w:szCs w:val="24"/>
                <w:lang w:val="en-US" w:eastAsia="zh-CN" w:bidi="ar-SA"/>
              </w:rPr>
              <w:t>生产工艺流程</w:t>
            </w:r>
            <w:r>
              <w:rPr>
                <w:rFonts w:hint="eastAsia" w:ascii="Times New Roman" w:hAnsi="Times New Roman" w:cs="Times New Roman"/>
                <w:color w:val="auto"/>
                <w:kern w:val="2"/>
                <w:sz w:val="24"/>
                <w:szCs w:val="24"/>
                <w:lang w:val="en-US" w:eastAsia="zh-CN" w:bidi="ar-SA"/>
              </w:rPr>
              <w:t>及产污节点详</w:t>
            </w:r>
            <w:r>
              <w:rPr>
                <w:rFonts w:hint="default" w:ascii="Times New Roman" w:hAnsi="Times New Roman" w:eastAsia="宋体" w:cs="Times New Roman"/>
                <w:color w:val="auto"/>
                <w:kern w:val="2"/>
                <w:sz w:val="24"/>
                <w:szCs w:val="24"/>
                <w:lang w:val="en-US" w:eastAsia="zh-CN" w:bidi="ar-SA"/>
              </w:rPr>
              <w:t>见图2-2。</w:t>
            </w:r>
          </w:p>
          <w:p w14:paraId="1846FA58">
            <w:pPr>
              <w:spacing w:line="360" w:lineRule="auto"/>
              <w:jc w:val="center"/>
              <w:rPr>
                <w:rFonts w:hint="eastAsia" w:ascii="宋体" w:hAnsi="宋体"/>
                <w:b/>
                <w:bCs/>
                <w:color w:val="auto"/>
                <w:sz w:val="24"/>
                <w:szCs w:val="24"/>
              </w:rPr>
            </w:pPr>
            <w:r>
              <w:rPr>
                <w:rFonts w:hint="default" w:ascii="Times New Roman" w:hAnsi="Times New Roman" w:cs="Times New Roman"/>
                <w:lang w:eastAsia="zh-CN"/>
              </w:rPr>
              <w:object>
                <v:shape id="_x0000_i1026" o:spt="75" type="#_x0000_t75" style="height:301.55pt;width:198.55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14:paraId="2EEF3543">
            <w:pPr>
              <w:spacing w:line="360" w:lineRule="auto"/>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1"/>
                <w:szCs w:val="21"/>
              </w:rPr>
              <w:t>图</w:t>
            </w:r>
            <w:r>
              <w:rPr>
                <w:rFonts w:hint="eastAsia" w:ascii="Times New Roman" w:hAnsi="Times New Roman" w:eastAsia="宋体" w:cs="Times New Roman"/>
                <w:b/>
                <w:bCs/>
                <w:color w:val="auto"/>
                <w:sz w:val="21"/>
                <w:szCs w:val="21"/>
                <w:lang w:val="en-US" w:eastAsia="zh-CN"/>
              </w:rPr>
              <w:t>2-2  玻璃钢化</w:t>
            </w:r>
            <w:r>
              <w:rPr>
                <w:rFonts w:hint="eastAsia" w:ascii="Times New Roman" w:hAnsi="Times New Roman" w:eastAsia="宋体" w:cs="Times New Roman"/>
                <w:b/>
                <w:bCs/>
                <w:color w:val="auto"/>
                <w:sz w:val="21"/>
                <w:szCs w:val="21"/>
              </w:rPr>
              <w:t>生产工艺流程图</w:t>
            </w:r>
          </w:p>
          <w:p w14:paraId="1688C139">
            <w:pPr>
              <w:pageBreakBefore w:val="0"/>
              <w:widowControl w:val="0"/>
              <w:kinsoku/>
              <w:wordWrap/>
              <w:overflowPunct/>
              <w:topLinePunct w:val="0"/>
              <w:bidi w:val="0"/>
              <w:adjustRightInd w:val="0"/>
              <w:snapToGrid w:val="0"/>
              <w:spacing w:line="360" w:lineRule="auto"/>
              <w:ind w:firstLine="480" w:firstLineChars="200"/>
              <w:rPr>
                <w:rFonts w:hint="eastAsia" w:ascii="Times New Roman" w:hAnsi="Times New Roman" w:eastAsia="宋体" w:cs="Times New Roman"/>
                <w:color w:val="auto"/>
                <w:kern w:val="24"/>
                <w:sz w:val="24"/>
                <w:szCs w:val="24"/>
                <w:lang w:val="en-US" w:eastAsia="zh-CN"/>
              </w:rPr>
            </w:pPr>
            <w:r>
              <w:rPr>
                <w:rFonts w:hint="eastAsia" w:ascii="Times New Roman" w:hAnsi="Times New Roman" w:eastAsia="宋体" w:cs="Times New Roman"/>
                <w:color w:val="auto"/>
                <w:kern w:val="24"/>
                <w:sz w:val="24"/>
                <w:szCs w:val="24"/>
                <w:lang w:val="en-US" w:eastAsia="zh-CN"/>
              </w:rPr>
              <w:t>工艺流程简介</w:t>
            </w:r>
          </w:p>
          <w:p w14:paraId="092BE8BE">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480" w:firstLineChars="200"/>
              <w:jc w:val="both"/>
              <w:rPr>
                <w:rFonts w:hint="eastAsia"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（1）</w:t>
            </w:r>
            <w:r>
              <w:rPr>
                <w:rFonts w:hint="eastAsia" w:cs="Times New Roman"/>
                <w:kern w:val="24"/>
                <w:sz w:val="24"/>
                <w:szCs w:val="24"/>
                <w:lang w:val="en-US" w:eastAsia="zh-CN" w:bidi="ar"/>
              </w:rPr>
              <w:t>切割</w:t>
            </w:r>
            <w:r>
              <w:rPr>
                <w:rFonts w:hint="eastAsia" w:ascii="Times New Roman" w:hAnsi="Times New Roman" w:eastAsia="宋体" w:cs="Times New Roman"/>
                <w:kern w:val="24"/>
                <w:sz w:val="24"/>
                <w:szCs w:val="24"/>
                <w:lang w:val="en-US" w:eastAsia="zh-CN" w:bidi="ar"/>
              </w:rPr>
              <w:t>：将原材料（玻璃原片）放入自动玻璃切割机，按要求切割成所需要的尺寸。玻璃切割原理是在一个工作平面上，用三轴控制切割头的动作，XY两向移动来确定机器的行走，用Z轴旋转控制转刀角度，利用气压与弹簧并用控制下刀。刀具为台金刀轮，在玻璃上切出划痕，由于玻璃是脆性材料，对划痕施加压力可将玻璃从划痕处分开。所谓切割，并不是通常意义上的直接切割，而是制造划痕，造成应力集中，然后裂片。切割是玻璃生产和深加工过程中必不可少的基本工序，其质量要求为：尺寸准确、断而平整垂直、无崩边掉角，这对于保证玻璃后续的加工质量至关重要。切割工序会产生噪声、玻璃边角料等。</w:t>
            </w:r>
          </w:p>
          <w:p w14:paraId="39E76FCF">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480" w:firstLineChars="200"/>
              <w:jc w:val="both"/>
              <w:rPr>
                <w:rFonts w:hint="default" w:ascii="Times New Roman" w:hAnsi="Times New Roman" w:eastAsia="宋体" w:cs="Times New Roman"/>
                <w:kern w:val="24"/>
                <w:sz w:val="24"/>
                <w:szCs w:val="24"/>
                <w:lang w:val="en-US" w:eastAsia="zh-CN" w:bidi="ar"/>
              </w:rPr>
            </w:pP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3</w:t>
            </w: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打磨</w:t>
            </w:r>
            <w:r>
              <w:rPr>
                <w:rFonts w:hint="default" w:ascii="Times New Roman" w:hAnsi="Times New Roman" w:eastAsia="宋体" w:cs="Times New Roman"/>
                <w:kern w:val="24"/>
                <w:sz w:val="24"/>
                <w:szCs w:val="24"/>
                <w:lang w:val="en-US" w:eastAsia="zh-CN" w:bidi="ar"/>
              </w:rPr>
              <w:t>：切割后的玻璃需要对边角进行</w:t>
            </w:r>
            <w:r>
              <w:rPr>
                <w:rFonts w:hint="eastAsia" w:cs="Times New Roman"/>
                <w:kern w:val="24"/>
                <w:sz w:val="24"/>
                <w:szCs w:val="24"/>
                <w:lang w:val="en-US" w:eastAsia="zh-CN" w:bidi="ar"/>
              </w:rPr>
              <w:t>打</w:t>
            </w:r>
            <w:r>
              <w:rPr>
                <w:rFonts w:hint="default" w:ascii="Times New Roman" w:hAnsi="Times New Roman" w:eastAsia="宋体" w:cs="Times New Roman"/>
                <w:kern w:val="24"/>
                <w:sz w:val="24"/>
                <w:szCs w:val="24"/>
                <w:lang w:val="en-US" w:eastAsia="zh-CN" w:bidi="ar"/>
              </w:rPr>
              <w:t>磨。本项目采取湿式</w:t>
            </w:r>
            <w:r>
              <w:rPr>
                <w:rFonts w:hint="eastAsia" w:cs="Times New Roman"/>
                <w:kern w:val="24"/>
                <w:sz w:val="24"/>
                <w:szCs w:val="24"/>
                <w:lang w:val="en-US" w:eastAsia="zh-CN" w:bidi="ar"/>
              </w:rPr>
              <w:t>打</w:t>
            </w:r>
            <w:r>
              <w:rPr>
                <w:rFonts w:hint="default" w:ascii="Times New Roman" w:hAnsi="Times New Roman" w:eastAsia="宋体" w:cs="Times New Roman"/>
                <w:kern w:val="24"/>
                <w:sz w:val="24"/>
                <w:szCs w:val="24"/>
                <w:lang w:val="en-US" w:eastAsia="zh-CN" w:bidi="ar"/>
              </w:rPr>
              <w:t>磨，在</w:t>
            </w:r>
            <w:r>
              <w:rPr>
                <w:rFonts w:hint="eastAsia" w:cs="Times New Roman"/>
                <w:kern w:val="24"/>
                <w:sz w:val="24"/>
                <w:szCs w:val="24"/>
                <w:lang w:val="en-US" w:eastAsia="zh-CN" w:bidi="ar"/>
              </w:rPr>
              <w:t>打磨</w:t>
            </w:r>
            <w:r>
              <w:rPr>
                <w:rFonts w:hint="default" w:ascii="Times New Roman" w:hAnsi="Times New Roman" w:eastAsia="宋体" w:cs="Times New Roman"/>
                <w:kern w:val="24"/>
                <w:sz w:val="24"/>
                <w:szCs w:val="24"/>
                <w:lang w:val="en-US" w:eastAsia="zh-CN" w:bidi="ar"/>
              </w:rPr>
              <w:t>机磨边的同时，在砂轮与玻璃接触部位冲水，</w:t>
            </w:r>
            <w:r>
              <w:rPr>
                <w:rFonts w:hint="eastAsia" w:cs="Times New Roman"/>
                <w:kern w:val="24"/>
                <w:sz w:val="24"/>
                <w:szCs w:val="24"/>
                <w:lang w:val="en-US" w:eastAsia="zh-CN" w:bidi="ar"/>
              </w:rPr>
              <w:t>起到冷却和防止</w:t>
            </w:r>
            <w:r>
              <w:rPr>
                <w:rFonts w:hint="default" w:ascii="Times New Roman" w:hAnsi="Times New Roman" w:eastAsia="宋体" w:cs="Times New Roman"/>
                <w:kern w:val="24"/>
                <w:sz w:val="24"/>
                <w:szCs w:val="24"/>
                <w:lang w:val="en-US" w:eastAsia="zh-CN" w:bidi="ar"/>
              </w:rPr>
              <w:t>产生玻璃粉尘</w:t>
            </w:r>
            <w:r>
              <w:rPr>
                <w:rFonts w:hint="eastAsia" w:cs="Times New Roman"/>
                <w:kern w:val="24"/>
                <w:sz w:val="24"/>
                <w:szCs w:val="24"/>
                <w:lang w:val="en-US" w:eastAsia="zh-CN" w:bidi="ar"/>
              </w:rPr>
              <w:t>的作用，打磨产生的玻璃粉末随废水进入沉淀池</w:t>
            </w:r>
            <w:r>
              <w:rPr>
                <w:rFonts w:hint="default" w:ascii="Times New Roman" w:hAnsi="Times New Roman" w:eastAsia="宋体" w:cs="Times New Roman"/>
                <w:kern w:val="24"/>
                <w:sz w:val="24"/>
                <w:szCs w:val="24"/>
                <w:lang w:val="en-US" w:eastAsia="zh-CN" w:bidi="ar"/>
              </w:rPr>
              <w:t>。磨边工序会产生噪声</w:t>
            </w:r>
            <w:r>
              <w:rPr>
                <w:rFonts w:hint="eastAsia" w:cs="Times New Roman"/>
                <w:kern w:val="24"/>
                <w:sz w:val="24"/>
                <w:szCs w:val="24"/>
                <w:lang w:val="en-US" w:eastAsia="zh-CN" w:bidi="ar"/>
              </w:rPr>
              <w:t>、打磨</w:t>
            </w:r>
            <w:r>
              <w:rPr>
                <w:rFonts w:hint="default" w:ascii="Times New Roman" w:hAnsi="Times New Roman" w:eastAsia="宋体" w:cs="Times New Roman"/>
                <w:kern w:val="24"/>
                <w:sz w:val="24"/>
                <w:szCs w:val="24"/>
                <w:lang w:val="en-US" w:eastAsia="zh-CN" w:bidi="ar"/>
              </w:rPr>
              <w:t>废水</w:t>
            </w:r>
            <w:r>
              <w:rPr>
                <w:rFonts w:hint="eastAsia" w:cs="Times New Roman"/>
                <w:kern w:val="24"/>
                <w:sz w:val="24"/>
                <w:szCs w:val="24"/>
                <w:lang w:val="en-US" w:eastAsia="zh-CN" w:bidi="ar"/>
              </w:rPr>
              <w:t>等</w:t>
            </w:r>
            <w:r>
              <w:rPr>
                <w:rFonts w:hint="default" w:ascii="Times New Roman" w:hAnsi="Times New Roman" w:eastAsia="宋体" w:cs="Times New Roman"/>
                <w:kern w:val="24"/>
                <w:sz w:val="24"/>
                <w:szCs w:val="24"/>
                <w:lang w:val="en-US" w:eastAsia="zh-CN" w:bidi="ar"/>
              </w:rPr>
              <w:t>。</w:t>
            </w:r>
          </w:p>
          <w:p w14:paraId="3D531FA4">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480" w:firstLineChars="200"/>
              <w:jc w:val="both"/>
              <w:rPr>
                <w:rFonts w:hint="default" w:ascii="Times New Roman" w:hAnsi="Times New Roman" w:eastAsia="宋体" w:cs="Times New Roman"/>
                <w:kern w:val="24"/>
                <w:sz w:val="24"/>
                <w:szCs w:val="24"/>
                <w:lang w:val="en-US" w:eastAsia="zh-CN" w:bidi="ar"/>
              </w:rPr>
            </w:pP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4</w:t>
            </w: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清洗</w:t>
            </w:r>
            <w:r>
              <w:rPr>
                <w:rFonts w:hint="default" w:ascii="Times New Roman" w:hAnsi="Times New Roman" w:eastAsia="宋体" w:cs="Times New Roman"/>
                <w:kern w:val="24"/>
                <w:sz w:val="24"/>
                <w:szCs w:val="24"/>
                <w:lang w:val="en-US" w:eastAsia="zh-CN" w:bidi="ar"/>
              </w:rPr>
              <w:t>：在</w:t>
            </w:r>
            <w:r>
              <w:rPr>
                <w:rFonts w:hint="eastAsia" w:cs="Times New Roman"/>
                <w:kern w:val="24"/>
                <w:sz w:val="24"/>
                <w:szCs w:val="24"/>
                <w:lang w:val="en-US" w:eastAsia="zh-CN" w:bidi="ar"/>
              </w:rPr>
              <w:t>钢化</w:t>
            </w:r>
            <w:r>
              <w:rPr>
                <w:rFonts w:hint="default" w:ascii="Times New Roman" w:hAnsi="Times New Roman" w:eastAsia="宋体" w:cs="Times New Roman"/>
                <w:kern w:val="24"/>
                <w:sz w:val="24"/>
                <w:szCs w:val="24"/>
                <w:lang w:val="en-US" w:eastAsia="zh-CN" w:bidi="ar"/>
              </w:rPr>
              <w:t>前，需要清洗玻璃表面灰尘</w:t>
            </w:r>
            <w:r>
              <w:rPr>
                <w:rFonts w:hint="eastAsia" w:cs="Times New Roman"/>
                <w:kern w:val="24"/>
                <w:sz w:val="24"/>
                <w:szCs w:val="24"/>
                <w:lang w:val="en-US" w:eastAsia="zh-CN" w:bidi="ar"/>
              </w:rPr>
              <w:t>，</w:t>
            </w:r>
            <w:r>
              <w:rPr>
                <w:rFonts w:hint="eastAsia" w:ascii="Times New Roman" w:hAnsi="Times New Roman" w:eastAsia="宋体" w:cs="Times New Roman"/>
                <w:kern w:val="24"/>
                <w:sz w:val="24"/>
                <w:szCs w:val="24"/>
                <w:lang w:val="en-US" w:eastAsia="zh-CN" w:bidi="ar"/>
              </w:rPr>
              <w:t>去除前序</w:t>
            </w:r>
            <w:r>
              <w:rPr>
                <w:rFonts w:hint="eastAsia" w:cs="Times New Roman"/>
                <w:kern w:val="24"/>
                <w:sz w:val="24"/>
                <w:szCs w:val="24"/>
                <w:lang w:val="en-US" w:eastAsia="zh-CN" w:bidi="ar"/>
              </w:rPr>
              <w:t>加工附着在玻璃上的玻璃渣、玻璃粉末</w:t>
            </w:r>
            <w:r>
              <w:rPr>
                <w:rFonts w:hint="default" w:ascii="Times New Roman" w:hAnsi="Times New Roman" w:eastAsia="宋体" w:cs="Times New Roman"/>
                <w:kern w:val="24"/>
                <w:sz w:val="24"/>
                <w:szCs w:val="24"/>
                <w:lang w:val="en-US" w:eastAsia="zh-CN" w:bidi="ar"/>
              </w:rPr>
              <w:t>等杂质</w:t>
            </w:r>
            <w:r>
              <w:rPr>
                <w:rFonts w:hint="eastAsia" w:cs="Times New Roman"/>
                <w:kern w:val="24"/>
                <w:sz w:val="24"/>
                <w:szCs w:val="24"/>
                <w:lang w:val="en-US" w:eastAsia="zh-CN" w:bidi="ar"/>
              </w:rPr>
              <w:t>。</w:t>
            </w:r>
            <w:r>
              <w:rPr>
                <w:rFonts w:hint="default" w:ascii="Times New Roman" w:hAnsi="Times New Roman" w:eastAsia="宋体" w:cs="Times New Roman"/>
                <w:kern w:val="24"/>
                <w:sz w:val="24"/>
                <w:szCs w:val="24"/>
                <w:lang w:val="en-US" w:eastAsia="zh-CN" w:bidi="ar"/>
              </w:rPr>
              <w:t>清洗无需添加洗涤剂</w:t>
            </w:r>
            <w:r>
              <w:rPr>
                <w:rFonts w:hint="eastAsia" w:cs="Times New Roman"/>
                <w:kern w:val="24"/>
                <w:sz w:val="24"/>
                <w:szCs w:val="24"/>
                <w:lang w:val="en-US" w:eastAsia="zh-CN" w:bidi="ar"/>
              </w:rPr>
              <w:t>，用清水冲洗，冲去玻璃表面附着物，</w:t>
            </w:r>
            <w:r>
              <w:rPr>
                <w:rFonts w:hint="default" w:ascii="Times New Roman" w:hAnsi="Times New Roman" w:eastAsia="宋体" w:cs="Times New Roman"/>
                <w:kern w:val="24"/>
                <w:sz w:val="24"/>
                <w:szCs w:val="24"/>
                <w:lang w:val="en-US" w:eastAsia="zh-CN" w:bidi="ar"/>
              </w:rPr>
              <w:t>清洗工序会产生废水。</w:t>
            </w:r>
          </w:p>
          <w:p w14:paraId="695C2208">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480" w:firstLineChars="200"/>
              <w:jc w:val="both"/>
              <w:rPr>
                <w:rFonts w:hint="default" w:ascii="Times New Roman" w:hAnsi="Times New Roman" w:cs="Times New Roman"/>
                <w:kern w:val="24"/>
                <w:sz w:val="24"/>
                <w:szCs w:val="24"/>
                <w:lang w:val="en-US" w:eastAsia="zh-CN" w:bidi="ar"/>
              </w:rPr>
            </w:pP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5</w:t>
            </w:r>
            <w:r>
              <w:rPr>
                <w:rFonts w:hint="default"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钢化</w:t>
            </w:r>
            <w:r>
              <w:rPr>
                <w:rFonts w:hint="default" w:ascii="Times New Roman" w:hAnsi="Times New Roman" w:eastAsia="宋体" w:cs="Times New Roman"/>
                <w:kern w:val="24"/>
                <w:sz w:val="24"/>
                <w:szCs w:val="24"/>
                <w:lang w:val="en-US" w:eastAsia="zh-CN" w:bidi="ar"/>
              </w:rPr>
              <w:t>：清洗后玻璃匀速通过电加热钢化炉，根据玻璃厚度控制通过速度，加热</w:t>
            </w:r>
            <w:r>
              <w:rPr>
                <w:rFonts w:hint="eastAsia" w:cs="Times New Roman"/>
                <w:kern w:val="24"/>
                <w:sz w:val="24"/>
                <w:szCs w:val="24"/>
                <w:lang w:val="en-US" w:eastAsia="zh-CN" w:bidi="ar"/>
              </w:rPr>
              <w:t>到</w:t>
            </w:r>
            <w:r>
              <w:rPr>
                <w:rFonts w:hint="default" w:ascii="Times New Roman" w:hAnsi="Times New Roman" w:eastAsia="宋体" w:cs="Times New Roman"/>
                <w:kern w:val="24"/>
                <w:sz w:val="24"/>
                <w:szCs w:val="24"/>
                <w:lang w:val="en-US" w:eastAsia="zh-CN" w:bidi="ar"/>
              </w:rPr>
              <w:t>6</w:t>
            </w:r>
            <w:r>
              <w:rPr>
                <w:rFonts w:hint="eastAsia" w:cs="Times New Roman"/>
                <w:kern w:val="24"/>
                <w:sz w:val="24"/>
                <w:szCs w:val="24"/>
                <w:lang w:val="en-US" w:eastAsia="zh-CN" w:bidi="ar"/>
              </w:rPr>
              <w:t>0</w:t>
            </w:r>
            <w:r>
              <w:rPr>
                <w:rFonts w:hint="default" w:ascii="Times New Roman" w:hAnsi="Times New Roman" w:eastAsia="宋体" w:cs="Times New Roman"/>
                <w:kern w:val="24"/>
                <w:sz w:val="24"/>
                <w:szCs w:val="24"/>
                <w:lang w:val="en-US" w:eastAsia="zh-CN" w:bidi="ar"/>
              </w:rPr>
              <w:t>0℃左右，到玻璃软化点，加热完成后，风栅段和加热段同步运动，将玻璃送入风栅段进行冷却</w:t>
            </w:r>
            <w:r>
              <w:rPr>
                <w:rFonts w:hint="eastAsia" w:cs="Times New Roman"/>
                <w:kern w:val="24"/>
                <w:sz w:val="24"/>
                <w:szCs w:val="24"/>
                <w:lang w:val="en-US" w:eastAsia="zh-CN" w:bidi="ar"/>
              </w:rPr>
              <w:t>，</w:t>
            </w:r>
            <w:r>
              <w:rPr>
                <w:rFonts w:hint="default" w:ascii="Times New Roman" w:hAnsi="Times New Roman" w:eastAsia="宋体" w:cs="Times New Roman"/>
                <w:kern w:val="24"/>
                <w:sz w:val="24"/>
                <w:szCs w:val="24"/>
                <w:lang w:val="en-US" w:eastAsia="zh-CN" w:bidi="ar"/>
              </w:rPr>
              <w:t>在冷却过程中，玻璃在辊道上做往返</w:t>
            </w:r>
            <w:r>
              <w:rPr>
                <w:rFonts w:hint="eastAsia" w:cs="Times New Roman"/>
                <w:kern w:val="24"/>
                <w:sz w:val="24"/>
                <w:szCs w:val="24"/>
                <w:lang w:val="en-US" w:eastAsia="zh-CN" w:bidi="ar"/>
              </w:rPr>
              <w:t>运</w:t>
            </w:r>
            <w:r>
              <w:rPr>
                <w:rFonts w:hint="default" w:ascii="Times New Roman" w:hAnsi="Times New Roman" w:eastAsia="宋体" w:cs="Times New Roman"/>
                <w:kern w:val="24"/>
                <w:sz w:val="24"/>
                <w:szCs w:val="24"/>
                <w:lang w:val="en-US" w:eastAsia="zh-CN" w:bidi="ar"/>
              </w:rPr>
              <w:t>动，通过风机系统向玻璃喷吹空气，保证玻璃冷却均匀，当</w:t>
            </w:r>
            <w:r>
              <w:rPr>
                <w:rFonts w:hint="eastAsia" w:cs="Times New Roman"/>
                <w:kern w:val="24"/>
                <w:sz w:val="24"/>
                <w:szCs w:val="24"/>
                <w:lang w:val="en-US" w:eastAsia="zh-CN" w:bidi="ar"/>
              </w:rPr>
              <w:t>玻璃温度</w:t>
            </w:r>
            <w:r>
              <w:rPr>
                <w:rFonts w:hint="default" w:ascii="Times New Roman" w:hAnsi="Times New Roman" w:eastAsia="宋体" w:cs="Times New Roman"/>
                <w:kern w:val="24"/>
                <w:sz w:val="24"/>
                <w:szCs w:val="24"/>
                <w:lang w:val="en-US" w:eastAsia="zh-CN" w:bidi="ar"/>
              </w:rPr>
              <w:t>冷却至</w:t>
            </w:r>
            <w:r>
              <w:rPr>
                <w:rFonts w:hint="eastAsia" w:cs="Times New Roman"/>
                <w:kern w:val="24"/>
                <w:sz w:val="24"/>
                <w:szCs w:val="24"/>
                <w:lang w:val="en-US" w:eastAsia="zh-CN" w:bidi="ar"/>
              </w:rPr>
              <w:t>略高</w:t>
            </w:r>
            <w:r>
              <w:rPr>
                <w:rFonts w:hint="default" w:ascii="Times New Roman" w:hAnsi="Times New Roman" w:eastAsia="宋体" w:cs="Times New Roman"/>
                <w:kern w:val="24"/>
                <w:sz w:val="24"/>
                <w:szCs w:val="24"/>
                <w:lang w:val="en-US" w:eastAsia="zh-CN" w:bidi="ar"/>
              </w:rPr>
              <w:t>室温时，就形成了高强度的钢化玻璃</w:t>
            </w:r>
            <w:r>
              <w:rPr>
                <w:rFonts w:hint="eastAsia" w:cs="Times New Roman"/>
                <w:kern w:val="24"/>
                <w:sz w:val="24"/>
                <w:szCs w:val="24"/>
                <w:lang w:val="en-US" w:eastAsia="zh-CN" w:bidi="ar"/>
              </w:rPr>
              <w:t>，然后将玻璃由中转台高速运转将玻璃运往下片台，然后人工操作行车卸片</w:t>
            </w:r>
            <w:r>
              <w:rPr>
                <w:rFonts w:hint="default" w:ascii="Times New Roman" w:hAnsi="Times New Roman" w:eastAsia="宋体" w:cs="Times New Roman"/>
                <w:kern w:val="24"/>
                <w:sz w:val="24"/>
                <w:szCs w:val="24"/>
                <w:lang w:val="en-US" w:eastAsia="zh-CN" w:bidi="ar"/>
              </w:rPr>
              <w:t>。钢化处理是将玻璃钢化加热到软化温度之后进行匀速的快速冷却，从而使玻璃表面获得压应力的玻璃。在冷却过程中，钢化玻璃外部因迅速冷却而固化，而内部冷却较慢。当内部继续冷却收缩使玻璃表而产生压应力，内部产生张应力，钢化处理使玻璃的抗弯和冲击强度得以提高，其强度也大大的增强。在玻璃钢化过程中有少量玻璃会发生自爆而产生玻璃</w:t>
            </w:r>
            <w:r>
              <w:rPr>
                <w:rFonts w:hint="default" w:ascii="Times New Roman" w:hAnsi="Times New Roman" w:cs="Times New Roman"/>
                <w:kern w:val="24"/>
                <w:sz w:val="24"/>
                <w:szCs w:val="24"/>
                <w:lang w:val="en-US" w:eastAsia="zh-CN" w:bidi="ar"/>
              </w:rPr>
              <w:t>渣。</w:t>
            </w:r>
          </w:p>
          <w:p w14:paraId="3F7D3672">
            <w:pPr>
              <w:keepNext w:val="0"/>
              <w:keepLines w:val="0"/>
              <w:pageBreakBefore w:val="0"/>
              <w:widowControl w:val="0"/>
              <w:suppressLineNumbers w:val="0"/>
              <w:kinsoku/>
              <w:wordWrap/>
              <w:overflowPunct/>
              <w:topLinePunct w:val="0"/>
              <w:bidi w:val="0"/>
              <w:adjustRightInd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4"/>
                <w:sz w:val="24"/>
                <w:szCs w:val="24"/>
                <w:lang w:val="en-US" w:eastAsia="zh-CN"/>
              </w:rPr>
            </w:pPr>
            <w:r>
              <w:rPr>
                <w:rFonts w:hint="default" w:ascii="Times New Roman" w:hAnsi="Times New Roman" w:eastAsia="宋体" w:cs="Times New Roman"/>
                <w:kern w:val="24"/>
                <w:sz w:val="24"/>
                <w:szCs w:val="24"/>
                <w:lang w:val="en-US" w:eastAsia="zh-CN" w:bidi="ar"/>
              </w:rPr>
              <w:t>（6）</w:t>
            </w:r>
            <w:r>
              <w:rPr>
                <w:rFonts w:hint="default" w:ascii="Times New Roman" w:hAnsi="Times New Roman" w:cs="Times New Roman"/>
                <w:kern w:val="24"/>
                <w:sz w:val="24"/>
                <w:szCs w:val="24"/>
                <w:lang w:val="en-US" w:eastAsia="zh-CN" w:bidi="ar"/>
              </w:rPr>
              <w:t>中转暂存：钢化后的钢化玻璃转运至成品库暂存，部分用于生产中空玻璃</w:t>
            </w:r>
            <w:r>
              <w:rPr>
                <w:rFonts w:hint="default" w:ascii="Times New Roman" w:hAnsi="Times New Roman" w:eastAsia="宋体" w:cs="Times New Roman"/>
                <w:color w:val="auto"/>
                <w:kern w:val="24"/>
                <w:sz w:val="24"/>
                <w:szCs w:val="24"/>
                <w:lang w:val="en-US" w:eastAsia="zh-CN"/>
              </w:rPr>
              <w:t>。</w:t>
            </w:r>
          </w:p>
          <w:p w14:paraId="07B7A165">
            <w:pPr>
              <w:pStyle w:val="28"/>
              <w:pageBreakBefore w:val="0"/>
              <w:widowControl w:val="0"/>
              <w:numPr>
                <w:ilvl w:val="0"/>
                <w:numId w:val="0"/>
              </w:numPr>
              <w:kinsoku/>
              <w:wordWrap/>
              <w:overflowPunct/>
              <w:topLinePunct w:val="0"/>
              <w:bidi w:val="0"/>
              <w:adjustRightInd w:val="0"/>
              <w:snapToGrid w:val="0"/>
              <w:spacing w:before="0" w:beforeLines="0" w:after="0" w:afterLines="0" w:line="360" w:lineRule="auto"/>
              <w:ind w:firstLine="482" w:firstLineChars="200"/>
              <w:rPr>
                <w:rFonts w:hint="default" w:ascii="Times New Roman" w:hAnsi="Times New Roman" w:eastAsia="宋体" w:cs="Times New Roman"/>
                <w:b/>
                <w:bCs w:val="0"/>
                <w:lang w:val="en-US" w:eastAsia="zh-CN"/>
              </w:rPr>
            </w:pPr>
            <w:r>
              <w:rPr>
                <w:rFonts w:hint="default" w:ascii="Times New Roman" w:hAnsi="Times New Roman" w:eastAsia="宋体" w:cs="Times New Roman"/>
                <w:b/>
                <w:bCs w:val="0"/>
                <w:lang w:val="en-US" w:eastAsia="zh-CN"/>
              </w:rPr>
              <w:t>2、中空玻璃生产工艺流程</w:t>
            </w:r>
          </w:p>
          <w:p w14:paraId="1096B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cs="Times New Roman"/>
                <w:kern w:val="24"/>
                <w:sz w:val="24"/>
                <w:szCs w:val="24"/>
                <w:lang w:val="en-US" w:eastAsia="zh-CN" w:bidi="ar"/>
              </w:rPr>
            </w:pPr>
            <w:r>
              <w:rPr>
                <w:rFonts w:hint="eastAsia" w:cs="Times New Roman"/>
                <w:kern w:val="24"/>
                <w:sz w:val="24"/>
                <w:szCs w:val="24"/>
                <w:lang w:val="en-US" w:eastAsia="zh-CN" w:bidi="ar"/>
              </w:rPr>
              <w:t>（1）制框：按照产品需求将铝条折弯制成比钢化玻璃边长尺寸短1~2cm的矩形或异形框（根据钢化玻璃形状确定），接头处使用插件连接。制框工序主要污染物为铝条废边角料和噪声。</w:t>
            </w:r>
          </w:p>
          <w:p w14:paraId="4BE7B5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（2）填充分子筛：分子筛灌装机专用钻头在铝框上钻孔，然后将分子筛（干燥剂）</w:t>
            </w:r>
            <w:r>
              <w:rPr>
                <w:rFonts w:hint="eastAsia" w:cs="Times New Roman"/>
                <w:kern w:val="24"/>
                <w:sz w:val="24"/>
                <w:szCs w:val="24"/>
                <w:lang w:val="en-US" w:eastAsia="zh-CN" w:bidi="ar"/>
              </w:rPr>
              <w:t>分子筛为成型颗粒，粒径约3mm，此过程不会产生粉尘，</w:t>
            </w:r>
            <w:r>
              <w:rPr>
                <w:rFonts w:hint="eastAsia" w:ascii="Times New Roman" w:hAnsi="Times New Roman" w:eastAsia="宋体" w:cs="Times New Roman"/>
                <w:kern w:val="24"/>
                <w:sz w:val="24"/>
                <w:szCs w:val="24"/>
                <w:lang w:val="en-US" w:eastAsia="zh-CN" w:bidi="ar"/>
              </w:rPr>
              <w:t>灌注铝框内，该过程产生</w:t>
            </w:r>
            <w:r>
              <w:rPr>
                <w:rFonts w:hint="eastAsia" w:cs="Times New Roman"/>
                <w:kern w:val="24"/>
                <w:sz w:val="24"/>
                <w:szCs w:val="24"/>
                <w:lang w:val="en-US" w:eastAsia="zh-CN" w:bidi="ar"/>
              </w:rPr>
              <w:t>噪声</w:t>
            </w:r>
            <w:r>
              <w:rPr>
                <w:rFonts w:hint="eastAsia" w:ascii="Times New Roman" w:hAnsi="Times New Roman" w:eastAsia="宋体" w:cs="Times New Roman"/>
                <w:kern w:val="24"/>
                <w:sz w:val="24"/>
                <w:szCs w:val="24"/>
                <w:lang w:val="en-US" w:eastAsia="zh-CN" w:bidi="ar"/>
              </w:rPr>
              <w:t>。</w:t>
            </w:r>
          </w:p>
          <w:p w14:paraId="7C5974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3）涂胶：使用涂胶机将丁基胶涂布在加工好的铝框上，涂胶温度为100℃～130℃，涂布前应根据铝框尺寸对丁基胶涂布机出胶口尺寸进行调整以保证丁基胶均匀的涂布在铝框上。铝框插件连接处必须完全涂布丁基胶以保证密封性。涂胶工序主要污染物为有机废气、噪声、废</w:t>
            </w:r>
            <w:r>
              <w:rPr>
                <w:rFonts w:hint="eastAsia" w:cs="Times New Roman"/>
                <w:kern w:val="24"/>
                <w:sz w:val="24"/>
                <w:szCs w:val="24"/>
                <w:lang w:val="en-US" w:eastAsia="zh-CN" w:bidi="ar"/>
              </w:rPr>
              <w:t>胶</w:t>
            </w:r>
            <w:r>
              <w:rPr>
                <w:rFonts w:hint="eastAsia" w:ascii="Times New Roman" w:hAnsi="Times New Roman" w:eastAsia="宋体" w:cs="Times New Roman"/>
                <w:kern w:val="24"/>
                <w:sz w:val="24"/>
                <w:szCs w:val="24"/>
                <w:lang w:val="en-US" w:eastAsia="zh-CN" w:bidi="ar"/>
              </w:rPr>
              <w:t>桶。</w:t>
            </w:r>
          </w:p>
          <w:p w14:paraId="542009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（5）合片：将加工好的铝框和钢化玻璃依次送入中空玻璃</w:t>
            </w:r>
            <w:r>
              <w:rPr>
                <w:rFonts w:hint="eastAsia" w:cs="Times New Roman"/>
                <w:kern w:val="24"/>
                <w:sz w:val="24"/>
                <w:szCs w:val="24"/>
                <w:lang w:val="en-US" w:eastAsia="zh-CN" w:bidi="ar"/>
              </w:rPr>
              <w:t>生产线中</w:t>
            </w:r>
            <w:r>
              <w:rPr>
                <w:rFonts w:hint="eastAsia" w:ascii="Times New Roman" w:hAnsi="Times New Roman" w:eastAsia="宋体" w:cs="Times New Roman"/>
                <w:kern w:val="24"/>
                <w:sz w:val="24"/>
                <w:szCs w:val="24"/>
                <w:lang w:val="en-US" w:eastAsia="zh-CN" w:bidi="ar"/>
              </w:rPr>
              <w:t>，中空玻璃自动合片机通过定位系统将玻璃、铝框准确定位，使铝框在两块钢化玻璃间均匀、紧密粘结，使</w:t>
            </w:r>
            <w:r>
              <w:rPr>
                <w:rFonts w:hint="eastAsia" w:cs="Times New Roman"/>
                <w:kern w:val="24"/>
                <w:sz w:val="24"/>
                <w:szCs w:val="24"/>
                <w:lang w:val="en-US" w:eastAsia="zh-CN" w:bidi="ar"/>
              </w:rPr>
              <w:t>两块</w:t>
            </w:r>
            <w:r>
              <w:rPr>
                <w:rFonts w:hint="eastAsia" w:ascii="Times New Roman" w:hAnsi="Times New Roman" w:eastAsia="宋体" w:cs="Times New Roman"/>
                <w:kern w:val="24"/>
                <w:sz w:val="24"/>
                <w:szCs w:val="24"/>
                <w:lang w:val="en-US" w:eastAsia="zh-CN" w:bidi="ar"/>
              </w:rPr>
              <w:t>钢化玻璃组成一块中空玻璃。该过程主要产生设备噪声。</w:t>
            </w:r>
          </w:p>
          <w:p w14:paraId="034A4D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（6）调胶：使用调胶机将硅酮密封胶A组分与B组分按</w:t>
            </w:r>
            <w:r>
              <w:rPr>
                <w:rFonts w:hint="eastAsia" w:cs="Times New Roman"/>
                <w:kern w:val="24"/>
                <w:sz w:val="24"/>
                <w:szCs w:val="24"/>
                <w:lang w:val="en-US" w:eastAsia="zh-CN" w:bidi="ar"/>
              </w:rPr>
              <w:t>约</w:t>
            </w:r>
            <w:r>
              <w:rPr>
                <w:rFonts w:hint="eastAsia" w:ascii="Times New Roman" w:hAnsi="Times New Roman" w:eastAsia="宋体" w:cs="Times New Roman"/>
                <w:kern w:val="24"/>
                <w:sz w:val="24"/>
                <w:szCs w:val="24"/>
                <w:lang w:val="en-US" w:eastAsia="zh-CN" w:bidi="ar"/>
              </w:rPr>
              <w:t>10:1的比例进行混合，混合后的硅酮密封胶输送进全</w:t>
            </w:r>
            <w:r>
              <w:rPr>
                <w:rFonts w:hint="eastAsia" w:cs="Times New Roman"/>
                <w:kern w:val="24"/>
                <w:sz w:val="24"/>
                <w:szCs w:val="24"/>
                <w:lang w:val="en-US" w:eastAsia="zh-CN" w:bidi="ar"/>
              </w:rPr>
              <w:t>封胶机</w:t>
            </w:r>
            <w:r>
              <w:rPr>
                <w:rFonts w:hint="eastAsia" w:ascii="Times New Roman" w:hAnsi="Times New Roman" w:eastAsia="宋体" w:cs="Times New Roman"/>
                <w:kern w:val="24"/>
                <w:sz w:val="24"/>
                <w:szCs w:val="24"/>
                <w:lang w:val="en-US" w:eastAsia="zh-CN" w:bidi="ar"/>
              </w:rPr>
              <w:t>胶桶内。硅酮密封胶A组与B组分混合后立即开始固化，</w:t>
            </w:r>
            <w:r>
              <w:rPr>
                <w:rFonts w:hint="eastAsia" w:cs="Times New Roman"/>
                <w:kern w:val="24"/>
                <w:sz w:val="24"/>
                <w:szCs w:val="24"/>
                <w:lang w:val="en-US" w:eastAsia="zh-CN" w:bidi="ar"/>
              </w:rPr>
              <w:t>因此</w:t>
            </w:r>
            <w:r>
              <w:rPr>
                <w:rFonts w:hint="eastAsia" w:ascii="Times New Roman" w:hAnsi="Times New Roman" w:eastAsia="宋体" w:cs="Times New Roman"/>
                <w:kern w:val="24"/>
                <w:sz w:val="24"/>
                <w:szCs w:val="24"/>
                <w:lang w:val="en-US" w:eastAsia="zh-CN" w:bidi="ar"/>
              </w:rPr>
              <w:t>次混合1~2h使用量，每天多次混合，以免混合过多硅酮密封胶过早固化造成浪费。调胶工序会产生有机废气，废胶桶等污染物。</w:t>
            </w:r>
          </w:p>
          <w:p w14:paraId="460D44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eastAsia"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（7）封胶：合片后铝框外边部和玻璃边部应有1~2cm的距离，用于涂第二道密封胶。使用全自动</w:t>
            </w:r>
            <w:r>
              <w:rPr>
                <w:rFonts w:hint="eastAsia" w:cs="Times New Roman"/>
                <w:kern w:val="24"/>
                <w:sz w:val="24"/>
                <w:szCs w:val="24"/>
                <w:lang w:val="en-US" w:eastAsia="zh-CN" w:bidi="ar"/>
              </w:rPr>
              <w:t>封胶</w:t>
            </w:r>
            <w:r>
              <w:rPr>
                <w:rFonts w:hint="eastAsia" w:ascii="Times New Roman" w:hAnsi="Times New Roman" w:eastAsia="宋体" w:cs="Times New Roman"/>
                <w:kern w:val="24"/>
                <w:sz w:val="24"/>
                <w:szCs w:val="24"/>
                <w:lang w:val="en-US" w:eastAsia="zh-CN" w:bidi="ar"/>
              </w:rPr>
              <w:t>机装有压力指示表，出胶压力连续可调，可以使调好的硅酮胶均匀注入两块钢化玻璃间的封胶区，完全填实铝框外侧。封胶工序主要污染物为有机废气。</w:t>
            </w:r>
          </w:p>
          <w:p w14:paraId="55E260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rPr>
                <w:rFonts w:hint="default" w:ascii="Times New Roman" w:hAnsi="Times New Roman" w:eastAsia="宋体" w:cs="Times New Roman"/>
                <w:kern w:val="24"/>
                <w:sz w:val="24"/>
                <w:szCs w:val="24"/>
                <w:lang w:val="en-US" w:eastAsia="zh-CN" w:bidi="ar"/>
              </w:rPr>
            </w:pPr>
            <w:r>
              <w:rPr>
                <w:rFonts w:hint="eastAsia" w:ascii="Times New Roman" w:hAnsi="Times New Roman" w:eastAsia="宋体" w:cs="Times New Roman"/>
                <w:kern w:val="24"/>
                <w:sz w:val="24"/>
                <w:szCs w:val="24"/>
                <w:lang w:val="en-US" w:eastAsia="zh-CN" w:bidi="ar"/>
              </w:rPr>
              <w:t>（</w:t>
            </w:r>
            <w:r>
              <w:rPr>
                <w:rFonts w:hint="eastAsia" w:cs="Times New Roman"/>
                <w:kern w:val="24"/>
                <w:sz w:val="24"/>
                <w:szCs w:val="24"/>
                <w:lang w:val="en-US" w:eastAsia="zh-CN" w:bidi="ar"/>
              </w:rPr>
              <w:t>8</w:t>
            </w:r>
            <w:r>
              <w:rPr>
                <w:rFonts w:hint="eastAsia" w:ascii="Times New Roman" w:hAnsi="Times New Roman" w:eastAsia="宋体" w:cs="Times New Roman"/>
                <w:kern w:val="24"/>
                <w:sz w:val="24"/>
                <w:szCs w:val="24"/>
                <w:lang w:val="en-US" w:eastAsia="zh-CN" w:bidi="ar"/>
              </w:rPr>
              <w:t>）检验合格后对，</w:t>
            </w:r>
            <w:r>
              <w:rPr>
                <w:rFonts w:hint="eastAsia" w:cs="Times New Roman"/>
                <w:kern w:val="24"/>
                <w:sz w:val="24"/>
                <w:szCs w:val="24"/>
                <w:lang w:val="en-US" w:eastAsia="zh-CN" w:bidi="ar"/>
              </w:rPr>
              <w:t>由叉车转运</w:t>
            </w:r>
            <w:r>
              <w:rPr>
                <w:rFonts w:hint="eastAsia" w:ascii="Times New Roman" w:hAnsi="Times New Roman" w:eastAsia="宋体" w:cs="Times New Roman"/>
                <w:kern w:val="24"/>
                <w:sz w:val="24"/>
                <w:szCs w:val="24"/>
                <w:lang w:val="en-US" w:eastAsia="zh-CN" w:bidi="ar"/>
              </w:rPr>
              <w:t>入成品库暂存待售。</w:t>
            </w:r>
          </w:p>
          <w:p w14:paraId="766FD6A3">
            <w:pPr>
              <w:spacing w:line="360" w:lineRule="auto"/>
              <w:jc w:val="center"/>
              <w:rPr>
                <w:rFonts w:hint="default" w:ascii="Times New Roman" w:hAnsi="Times New Roman" w:cs="Times New Roman"/>
                <w:b/>
                <w:bCs/>
                <w:color w:val="auto"/>
                <w:sz w:val="21"/>
                <w:szCs w:val="21"/>
              </w:rPr>
            </w:pPr>
            <w:r>
              <w:rPr>
                <w:rFonts w:hint="default"/>
                <w:lang w:val="en-US" w:eastAsia="zh-CN"/>
              </w:rPr>
              <w:pict>
                <v:shape id="_x0000_s2052" o:spid="_x0000_s2052" o:spt="75" type="#_x0000_t75" style="position:absolute;left:0pt;margin-left:47.3pt;margin-top:11.1pt;height:377.8pt;width:308.4pt;mso-wrap-distance-bottom:0pt;mso-wrap-distance-top:0pt;z-index:251663360;mso-width-relative:page;mso-height-relative:page;" o:ole="t" filled="f" o:preferrelative="t" stroked="f" coordsize="21600,21600">
                  <v:path/>
                  <v:fill on="f" focussize="0,0"/>
                  <v:stroke on="f"/>
                  <v:imagedata r:id="rId13" o:title=""/>
                  <o:lock v:ext="edit" aspectratio="t"/>
                  <w10:wrap type="topAndBottom"/>
                </v:shape>
                <o:OLEObject Type="Embed" ProgID="Visio.Drawing.11" ShapeID="_x0000_s2052" DrawAspect="Content" ObjectID="_1468075727" r:id="rId12">
                  <o:LockedField>false</o:LockedField>
                </o:OLEObject>
              </w:pict>
            </w:r>
            <w:r>
              <w:rPr>
                <w:rFonts w:hint="default" w:ascii="Times New Roman" w:hAnsi="Times New Roman" w:cs="Times New Roman"/>
                <w:b/>
                <w:bCs/>
                <w:color w:val="auto"/>
                <w:sz w:val="21"/>
                <w:szCs w:val="21"/>
              </w:rPr>
              <w:t>图</w:t>
            </w:r>
            <w:r>
              <w:rPr>
                <w:rFonts w:hint="default" w:ascii="Times New Roman" w:hAnsi="Times New Roman" w:cs="Times New Roman"/>
                <w:b/>
                <w:bCs/>
                <w:color w:val="auto"/>
                <w:sz w:val="21"/>
                <w:szCs w:val="21"/>
                <w:lang w:val="en-US" w:eastAsia="zh-CN"/>
              </w:rPr>
              <w:t>2-3  中空玻璃</w:t>
            </w:r>
            <w:r>
              <w:rPr>
                <w:rFonts w:hint="default" w:ascii="Times New Roman" w:hAnsi="Times New Roman" w:cs="Times New Roman"/>
                <w:b/>
                <w:color w:val="auto"/>
                <w:sz w:val="21"/>
                <w:szCs w:val="21"/>
              </w:rPr>
              <w:t>生产工艺</w:t>
            </w:r>
            <w:r>
              <w:rPr>
                <w:rFonts w:hint="default" w:ascii="Times New Roman" w:hAnsi="Times New Roman" w:cs="Times New Roman"/>
                <w:b/>
                <w:bCs/>
                <w:color w:val="auto"/>
                <w:sz w:val="21"/>
                <w:szCs w:val="21"/>
              </w:rPr>
              <w:t>流程图</w:t>
            </w:r>
          </w:p>
          <w:p w14:paraId="2F80D22C">
            <w:pPr>
              <w:pStyle w:val="28"/>
              <w:numPr>
                <w:ilvl w:val="0"/>
                <w:numId w:val="0"/>
              </w:numPr>
              <w:rPr>
                <w:rFonts w:hint="eastAsia" w:ascii="宋体" w:hAnsi="Times New Roman" w:eastAsia="宋体" w:cs="宋体"/>
                <w:b/>
                <w:bCs w:val="0"/>
                <w:lang w:val="en-US" w:eastAsia="zh-CN"/>
              </w:rPr>
            </w:pPr>
            <w:r>
              <w:rPr>
                <w:rFonts w:hint="eastAsia" w:ascii="宋体" w:hAnsi="Times New Roman" w:eastAsia="宋体" w:cs="宋体"/>
                <w:b/>
                <w:bCs w:val="0"/>
                <w:lang w:val="en-US" w:eastAsia="zh-CN"/>
              </w:rPr>
              <w:t>3、产排污环节</w:t>
            </w:r>
          </w:p>
          <w:p w14:paraId="4124FF4C">
            <w:pPr>
              <w:snapToGrid w:val="0"/>
              <w:spacing w:line="36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表2-</w:t>
            </w:r>
            <w:r>
              <w:rPr>
                <w:rFonts w:hint="default" w:ascii="Times New Roman" w:hAnsi="Times New Roman" w:cs="Times New Roman"/>
                <w:b/>
                <w:bCs/>
                <w:color w:val="auto"/>
                <w:sz w:val="21"/>
                <w:szCs w:val="21"/>
                <w:lang w:val="en-US" w:eastAsia="zh-CN"/>
              </w:rPr>
              <w:t xml:space="preserve">7  </w:t>
            </w:r>
            <w:r>
              <w:rPr>
                <w:rFonts w:hint="default" w:ascii="Times New Roman" w:hAnsi="Times New Roman" w:cs="Times New Roman"/>
                <w:b/>
                <w:bCs/>
                <w:color w:val="auto"/>
                <w:sz w:val="21"/>
                <w:szCs w:val="21"/>
              </w:rPr>
              <w:t>生产产污节点一览表</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52"/>
              <w:gridCol w:w="1164"/>
              <w:gridCol w:w="1277"/>
              <w:gridCol w:w="1148"/>
              <w:gridCol w:w="1411"/>
              <w:gridCol w:w="1072"/>
              <w:gridCol w:w="2250"/>
            </w:tblGrid>
            <w:tr w14:paraId="44FFC8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tcBorders>
                    <w:tl2br w:val="nil"/>
                    <w:tr2bl w:val="nil"/>
                  </w:tcBorders>
                  <w:noWrap w:val="0"/>
                  <w:vAlign w:val="center"/>
                </w:tcPr>
                <w:p w14:paraId="39FB002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污染物种类</w:t>
                  </w:r>
                </w:p>
              </w:tc>
              <w:tc>
                <w:tcPr>
                  <w:tcW w:w="641" w:type="pct"/>
                  <w:tcBorders>
                    <w:tl2br w:val="nil"/>
                    <w:tr2bl w:val="nil"/>
                  </w:tcBorders>
                  <w:noWrap w:val="0"/>
                  <w:vAlign w:val="center"/>
                </w:tcPr>
                <w:p w14:paraId="7C48B51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生产单元</w:t>
                  </w:r>
                </w:p>
              </w:tc>
              <w:tc>
                <w:tcPr>
                  <w:tcW w:w="703" w:type="pct"/>
                  <w:tcBorders>
                    <w:tl2br w:val="nil"/>
                    <w:tr2bl w:val="nil"/>
                  </w:tcBorders>
                  <w:noWrap w:val="0"/>
                  <w:vAlign w:val="center"/>
                </w:tcPr>
                <w:p w14:paraId="66E05B1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生产设施</w:t>
                  </w:r>
                </w:p>
              </w:tc>
              <w:tc>
                <w:tcPr>
                  <w:tcW w:w="632" w:type="pct"/>
                  <w:tcBorders>
                    <w:tl2br w:val="nil"/>
                    <w:tr2bl w:val="nil"/>
                  </w:tcBorders>
                  <w:noWrap w:val="0"/>
                  <w:vAlign w:val="center"/>
                </w:tcPr>
                <w:p w14:paraId="4C8C93D2">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产污环节</w:t>
                  </w:r>
                </w:p>
              </w:tc>
              <w:tc>
                <w:tcPr>
                  <w:tcW w:w="777" w:type="pct"/>
                  <w:tcBorders>
                    <w:tl2br w:val="nil"/>
                    <w:tr2bl w:val="nil"/>
                  </w:tcBorders>
                  <w:noWrap w:val="0"/>
                  <w:vAlign w:val="center"/>
                </w:tcPr>
                <w:p w14:paraId="24D9FE5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污染物种类</w:t>
                  </w:r>
                </w:p>
              </w:tc>
              <w:tc>
                <w:tcPr>
                  <w:tcW w:w="590" w:type="pct"/>
                  <w:tcBorders>
                    <w:tl2br w:val="nil"/>
                    <w:tr2bl w:val="nil"/>
                  </w:tcBorders>
                  <w:noWrap w:val="0"/>
                  <w:vAlign w:val="center"/>
                </w:tcPr>
                <w:p w14:paraId="699A0D92">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排放方式</w:t>
                  </w:r>
                </w:p>
              </w:tc>
              <w:tc>
                <w:tcPr>
                  <w:tcW w:w="1239" w:type="pct"/>
                  <w:tcBorders>
                    <w:tl2br w:val="nil"/>
                    <w:tr2bl w:val="nil"/>
                  </w:tcBorders>
                  <w:noWrap w:val="0"/>
                  <w:vAlign w:val="center"/>
                </w:tcPr>
                <w:p w14:paraId="417FA1D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污染防治设施名称及工艺</w:t>
                  </w:r>
                </w:p>
              </w:tc>
            </w:tr>
            <w:tr w14:paraId="51062C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restart"/>
                  <w:tcBorders>
                    <w:tl2br w:val="nil"/>
                    <w:tr2bl w:val="nil"/>
                  </w:tcBorders>
                  <w:noWrap w:val="0"/>
                  <w:vAlign w:val="center"/>
                </w:tcPr>
                <w:p w14:paraId="7E9941D4">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废水</w:t>
                  </w:r>
                </w:p>
              </w:tc>
              <w:tc>
                <w:tcPr>
                  <w:tcW w:w="641" w:type="pct"/>
                  <w:tcBorders>
                    <w:tl2br w:val="nil"/>
                    <w:tr2bl w:val="nil"/>
                  </w:tcBorders>
                  <w:noWrap w:val="0"/>
                  <w:vAlign w:val="center"/>
                </w:tcPr>
                <w:p w14:paraId="066BC07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w:t>
                  </w:r>
                </w:p>
              </w:tc>
              <w:tc>
                <w:tcPr>
                  <w:tcW w:w="703" w:type="pct"/>
                  <w:tcBorders>
                    <w:tl2br w:val="nil"/>
                    <w:tr2bl w:val="nil"/>
                  </w:tcBorders>
                  <w:noWrap w:val="0"/>
                  <w:vAlign w:val="center"/>
                </w:tcPr>
                <w:p w14:paraId="159D7D8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生活设施</w:t>
                  </w:r>
                </w:p>
              </w:tc>
              <w:tc>
                <w:tcPr>
                  <w:tcW w:w="632" w:type="pct"/>
                  <w:tcBorders>
                    <w:tl2br w:val="nil"/>
                    <w:tr2bl w:val="nil"/>
                  </w:tcBorders>
                  <w:noWrap w:val="0"/>
                  <w:vAlign w:val="center"/>
                </w:tcPr>
                <w:p w14:paraId="76F53CBB">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生活污水</w:t>
                  </w:r>
                </w:p>
              </w:tc>
              <w:tc>
                <w:tcPr>
                  <w:tcW w:w="777" w:type="pct"/>
                  <w:tcBorders>
                    <w:tl2br w:val="nil"/>
                    <w:tr2bl w:val="nil"/>
                  </w:tcBorders>
                  <w:noWrap w:val="0"/>
                  <w:vAlign w:val="center"/>
                </w:tcPr>
                <w:p w14:paraId="501435F5">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COD、BOD</w:t>
                  </w:r>
                  <w:r>
                    <w:rPr>
                      <w:rFonts w:hint="default" w:ascii="Times New Roman" w:hAnsi="Times New Roman" w:eastAsia="宋体" w:cs="Times New Roman"/>
                      <w:kern w:val="0"/>
                      <w:sz w:val="21"/>
                      <w:szCs w:val="21"/>
                      <w:vertAlign w:val="subscript"/>
                      <w:lang w:val="en-US" w:eastAsia="zh-CN" w:bidi="ar"/>
                    </w:rPr>
                    <w:t>5</w:t>
                  </w:r>
                  <w:r>
                    <w:rPr>
                      <w:rFonts w:hint="default" w:ascii="Times New Roman" w:hAnsi="Times New Roman" w:eastAsia="宋体" w:cs="Times New Roman"/>
                      <w:kern w:val="0"/>
                      <w:sz w:val="21"/>
                      <w:szCs w:val="21"/>
                      <w:lang w:val="en-US" w:eastAsia="zh-CN" w:bidi="ar"/>
                    </w:rPr>
                    <w:t>、SS、NH</w:t>
                  </w:r>
                  <w:r>
                    <w:rPr>
                      <w:rFonts w:hint="default" w:ascii="Times New Roman" w:hAnsi="Times New Roman" w:eastAsia="宋体" w:cs="Times New Roman"/>
                      <w:kern w:val="0"/>
                      <w:sz w:val="21"/>
                      <w:szCs w:val="21"/>
                      <w:vertAlign w:val="subscript"/>
                      <w:lang w:val="en-US" w:eastAsia="zh-CN" w:bidi="ar"/>
                    </w:rPr>
                    <w:t>3</w:t>
                  </w:r>
                  <w:r>
                    <w:rPr>
                      <w:rFonts w:hint="default" w:ascii="Times New Roman" w:hAnsi="Times New Roman" w:eastAsia="宋体" w:cs="Times New Roman"/>
                      <w:kern w:val="0"/>
                      <w:sz w:val="21"/>
                      <w:szCs w:val="21"/>
                      <w:lang w:val="en-US" w:eastAsia="zh-CN" w:bidi="ar"/>
                    </w:rPr>
                    <w:t>-N</w:t>
                  </w:r>
                </w:p>
              </w:tc>
              <w:tc>
                <w:tcPr>
                  <w:tcW w:w="590" w:type="pct"/>
                  <w:tcBorders>
                    <w:tl2br w:val="nil"/>
                    <w:tr2bl w:val="nil"/>
                  </w:tcBorders>
                  <w:noWrap w:val="0"/>
                  <w:vAlign w:val="center"/>
                </w:tcPr>
                <w:p w14:paraId="42B5CB2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间接排放</w:t>
                  </w:r>
                </w:p>
              </w:tc>
              <w:tc>
                <w:tcPr>
                  <w:tcW w:w="1239" w:type="pct"/>
                  <w:tcBorders>
                    <w:tl2br w:val="nil"/>
                    <w:tr2bl w:val="nil"/>
                  </w:tcBorders>
                  <w:noWrap w:val="0"/>
                  <w:vAlign w:val="center"/>
                </w:tcPr>
                <w:p w14:paraId="2B35CFA8">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化粪池</w:t>
                  </w:r>
                </w:p>
              </w:tc>
            </w:tr>
            <w:tr w14:paraId="780616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5137FA8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tcBorders>
                    <w:tl2br w:val="nil"/>
                    <w:tr2bl w:val="nil"/>
                  </w:tcBorders>
                  <w:noWrap w:val="0"/>
                  <w:vAlign w:val="center"/>
                </w:tcPr>
                <w:p w14:paraId="753C2D7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钢化玻璃生产线</w:t>
                  </w:r>
                </w:p>
              </w:tc>
              <w:tc>
                <w:tcPr>
                  <w:tcW w:w="703" w:type="pct"/>
                  <w:tcBorders>
                    <w:tl2br w:val="nil"/>
                    <w:tr2bl w:val="nil"/>
                  </w:tcBorders>
                  <w:noWrap w:val="0"/>
                  <w:vAlign w:val="center"/>
                </w:tcPr>
                <w:p w14:paraId="6CB0189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打磨机</w:t>
                  </w:r>
                </w:p>
              </w:tc>
              <w:tc>
                <w:tcPr>
                  <w:tcW w:w="632" w:type="pct"/>
                  <w:tcBorders>
                    <w:tl2br w:val="nil"/>
                    <w:tr2bl w:val="nil"/>
                  </w:tcBorders>
                  <w:noWrap w:val="0"/>
                  <w:vAlign w:val="center"/>
                </w:tcPr>
                <w:p w14:paraId="491F3B2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打磨</w:t>
                  </w:r>
                </w:p>
              </w:tc>
              <w:tc>
                <w:tcPr>
                  <w:tcW w:w="777" w:type="pct"/>
                  <w:tcBorders>
                    <w:tl2br w:val="nil"/>
                    <w:tr2bl w:val="nil"/>
                  </w:tcBorders>
                  <w:noWrap w:val="0"/>
                  <w:vAlign w:val="center"/>
                </w:tcPr>
                <w:p w14:paraId="0B85E53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SS</w:t>
                  </w:r>
                </w:p>
              </w:tc>
              <w:tc>
                <w:tcPr>
                  <w:tcW w:w="590" w:type="pct"/>
                  <w:tcBorders>
                    <w:tl2br w:val="nil"/>
                    <w:tr2bl w:val="nil"/>
                  </w:tcBorders>
                  <w:noWrap w:val="0"/>
                  <w:vAlign w:val="center"/>
                </w:tcPr>
                <w:p w14:paraId="0A64A191">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tcBorders>
                    <w:tl2br w:val="nil"/>
                    <w:tr2bl w:val="nil"/>
                  </w:tcBorders>
                  <w:noWrap w:val="0"/>
                  <w:vAlign w:val="center"/>
                </w:tcPr>
                <w:p w14:paraId="77A60479">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污水处理设施</w:t>
                  </w:r>
                </w:p>
              </w:tc>
            </w:tr>
            <w:tr w14:paraId="0D5613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5A046D5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tcBorders>
                    <w:tl2br w:val="nil"/>
                    <w:tr2bl w:val="nil"/>
                  </w:tcBorders>
                  <w:noWrap w:val="0"/>
                  <w:vAlign w:val="center"/>
                </w:tcPr>
                <w:p w14:paraId="7C05040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清洗</w:t>
                  </w:r>
                </w:p>
              </w:tc>
              <w:tc>
                <w:tcPr>
                  <w:tcW w:w="703" w:type="pct"/>
                  <w:tcBorders>
                    <w:tl2br w:val="nil"/>
                    <w:tr2bl w:val="nil"/>
                  </w:tcBorders>
                  <w:noWrap w:val="0"/>
                  <w:vAlign w:val="center"/>
                </w:tcPr>
                <w:p w14:paraId="45C72C0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清洗机</w:t>
                  </w:r>
                </w:p>
              </w:tc>
              <w:tc>
                <w:tcPr>
                  <w:tcW w:w="632" w:type="pct"/>
                  <w:tcBorders>
                    <w:tl2br w:val="nil"/>
                    <w:tr2bl w:val="nil"/>
                  </w:tcBorders>
                  <w:noWrap w:val="0"/>
                  <w:vAlign w:val="center"/>
                </w:tcPr>
                <w:p w14:paraId="0B4BCF1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清洗</w:t>
                  </w:r>
                </w:p>
              </w:tc>
              <w:tc>
                <w:tcPr>
                  <w:tcW w:w="777" w:type="pct"/>
                  <w:tcBorders>
                    <w:tl2br w:val="nil"/>
                    <w:tr2bl w:val="nil"/>
                  </w:tcBorders>
                  <w:noWrap w:val="0"/>
                  <w:vAlign w:val="center"/>
                </w:tcPr>
                <w:p w14:paraId="7457955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SS</w:t>
                  </w:r>
                </w:p>
              </w:tc>
              <w:tc>
                <w:tcPr>
                  <w:tcW w:w="590" w:type="pct"/>
                  <w:tcBorders>
                    <w:tl2br w:val="nil"/>
                    <w:tr2bl w:val="nil"/>
                  </w:tcBorders>
                  <w:noWrap w:val="0"/>
                  <w:vAlign w:val="center"/>
                </w:tcPr>
                <w:p w14:paraId="611AEFA0">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tcBorders>
                    <w:tl2br w:val="nil"/>
                    <w:tr2bl w:val="nil"/>
                  </w:tcBorders>
                  <w:noWrap w:val="0"/>
                  <w:vAlign w:val="center"/>
                </w:tcPr>
                <w:p w14:paraId="25D0671C">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污水处理设施</w:t>
                  </w:r>
                </w:p>
              </w:tc>
            </w:tr>
            <w:tr w14:paraId="504FC9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restart"/>
                  <w:tcBorders>
                    <w:tl2br w:val="nil"/>
                    <w:tr2bl w:val="nil"/>
                  </w:tcBorders>
                  <w:noWrap w:val="0"/>
                  <w:vAlign w:val="center"/>
                </w:tcPr>
                <w:p w14:paraId="6FB23CA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废气</w:t>
                  </w:r>
                </w:p>
              </w:tc>
              <w:tc>
                <w:tcPr>
                  <w:tcW w:w="641" w:type="pct"/>
                  <w:vMerge w:val="restart"/>
                  <w:tcBorders>
                    <w:tl2br w:val="nil"/>
                    <w:tr2bl w:val="nil"/>
                  </w:tcBorders>
                  <w:noWrap w:val="0"/>
                  <w:vAlign w:val="center"/>
                </w:tcPr>
                <w:p w14:paraId="61E8C7F8">
                  <w:pPr>
                    <w:keepNext w:val="0"/>
                    <w:keepLines w:val="0"/>
                    <w:widowControl w:val="0"/>
                    <w:suppressLineNumbers w:val="0"/>
                    <w:spacing w:before="0" w:beforeLines="0" w:beforeAutospacing="0" w:after="0" w:afterLines="0" w:afterAutospacing="0" w:line="240" w:lineRule="exact"/>
                    <w:ind w:left="0" w:leftChars="0" w:right="0" w:rightChars="0" w:firstLine="0" w:firstLineChars="0"/>
                    <w:jc w:val="center"/>
                    <w:rPr>
                      <w:rFonts w:hint="default" w:ascii="Times New Roman" w:hAnsi="Times New Roman" w:eastAsia="宋体" w:cs="Times New Roman"/>
                      <w:kern w:val="2"/>
                      <w:sz w:val="21"/>
                      <w:szCs w:val="21"/>
                      <w:lang w:eastAsia="zh-CN"/>
                    </w:rPr>
                  </w:pPr>
                  <w:r>
                    <w:rPr>
                      <w:rFonts w:hint="eastAsia" w:cs="Times New Roman"/>
                      <w:kern w:val="2"/>
                      <w:sz w:val="21"/>
                      <w:szCs w:val="21"/>
                      <w:lang w:eastAsia="zh-CN"/>
                    </w:rPr>
                    <w:t>施胶</w:t>
                  </w:r>
                </w:p>
              </w:tc>
              <w:tc>
                <w:tcPr>
                  <w:tcW w:w="703" w:type="pct"/>
                  <w:tcBorders>
                    <w:tl2br w:val="nil"/>
                    <w:tr2bl w:val="nil"/>
                  </w:tcBorders>
                  <w:noWrap w:val="0"/>
                  <w:vAlign w:val="center"/>
                </w:tcPr>
                <w:p w14:paraId="4DFABE5D">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eastAsia" w:ascii="Times New Roman" w:hAnsi="Times New Roman" w:eastAsia="宋体" w:cs="Times New Roman"/>
                      <w:kern w:val="2"/>
                      <w:sz w:val="21"/>
                      <w:szCs w:val="21"/>
                      <w:lang w:val="en-US" w:eastAsia="zh-CN"/>
                    </w:rPr>
                  </w:pPr>
                  <w:r>
                    <w:rPr>
                      <w:rFonts w:hint="eastAsia" w:cs="Times New Roman"/>
                      <w:kern w:val="2"/>
                      <w:sz w:val="21"/>
                      <w:szCs w:val="21"/>
                      <w:lang w:val="en-US" w:eastAsia="zh-CN"/>
                    </w:rPr>
                    <w:t>/</w:t>
                  </w:r>
                </w:p>
              </w:tc>
              <w:tc>
                <w:tcPr>
                  <w:tcW w:w="632" w:type="pct"/>
                  <w:tcBorders>
                    <w:tl2br w:val="nil"/>
                    <w:tr2bl w:val="nil"/>
                  </w:tcBorders>
                  <w:noWrap w:val="0"/>
                  <w:vAlign w:val="center"/>
                </w:tcPr>
                <w:p w14:paraId="20CECCB2">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rPr>
                  </w:pPr>
                  <w:r>
                    <w:rPr>
                      <w:rFonts w:hint="eastAsia" w:cs="Times New Roman"/>
                      <w:kern w:val="2"/>
                      <w:sz w:val="21"/>
                      <w:szCs w:val="21"/>
                      <w:lang w:val="en-US" w:eastAsia="zh-CN"/>
                    </w:rPr>
                    <w:t>调胶</w:t>
                  </w:r>
                </w:p>
              </w:tc>
              <w:tc>
                <w:tcPr>
                  <w:tcW w:w="777" w:type="pct"/>
                  <w:tcBorders>
                    <w:tl2br w:val="nil"/>
                    <w:tr2bl w:val="nil"/>
                  </w:tcBorders>
                  <w:noWrap w:val="0"/>
                  <w:vAlign w:val="center"/>
                </w:tcPr>
                <w:p w14:paraId="72D39E57">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rPr>
                  </w:pPr>
                  <w:r>
                    <w:rPr>
                      <w:rFonts w:hint="default" w:ascii="Times New Roman" w:hAnsi="Times New Roman" w:eastAsia="宋体" w:cs="Times New Roman"/>
                      <w:kern w:val="0"/>
                      <w:sz w:val="21"/>
                      <w:szCs w:val="21"/>
                      <w:lang w:val="en-US" w:eastAsia="zh-CN" w:bidi="ar"/>
                    </w:rPr>
                    <w:t>VOCs</w:t>
                  </w:r>
                </w:p>
              </w:tc>
              <w:tc>
                <w:tcPr>
                  <w:tcW w:w="590" w:type="pct"/>
                  <w:tcBorders>
                    <w:tl2br w:val="nil"/>
                    <w:tr2bl w:val="nil"/>
                  </w:tcBorders>
                  <w:noWrap w:val="0"/>
                  <w:vAlign w:val="center"/>
                </w:tcPr>
                <w:p w14:paraId="7BD0AEF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有组织</w:t>
                  </w:r>
                </w:p>
              </w:tc>
              <w:tc>
                <w:tcPr>
                  <w:tcW w:w="1239" w:type="pct"/>
                  <w:vMerge w:val="restart"/>
                  <w:tcBorders>
                    <w:tl2br w:val="nil"/>
                    <w:tr2bl w:val="nil"/>
                  </w:tcBorders>
                  <w:noWrap w:val="0"/>
                  <w:vAlign w:val="center"/>
                </w:tcPr>
                <w:p w14:paraId="3A5D6E3B">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eastAsia" w:cs="Times New Roman"/>
                      <w:kern w:val="2"/>
                      <w:sz w:val="21"/>
                      <w:szCs w:val="21"/>
                      <w:lang w:val="en-US" w:eastAsia="zh-CN" w:bidi="ar"/>
                    </w:rPr>
                    <w:t>集气罩收集</w:t>
                  </w:r>
                  <w:r>
                    <w:rPr>
                      <w:rFonts w:hint="default" w:ascii="Times New Roman" w:hAnsi="Times New Roman" w:eastAsia="宋体" w:cs="Times New Roman"/>
                      <w:kern w:val="2"/>
                      <w:sz w:val="21"/>
                      <w:szCs w:val="21"/>
                      <w:lang w:val="en-US" w:eastAsia="zh-CN" w:bidi="ar"/>
                    </w:rPr>
                    <w:t>经二级活性炭吸附装置处理后经15m高排气筒排放</w:t>
                  </w:r>
                </w:p>
              </w:tc>
            </w:tr>
            <w:tr w14:paraId="0EDE68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6FDA8208">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c>
                <w:tcPr>
                  <w:tcW w:w="641" w:type="pct"/>
                  <w:vMerge w:val="continue"/>
                  <w:tcBorders>
                    <w:tl2br w:val="nil"/>
                    <w:tr2bl w:val="nil"/>
                  </w:tcBorders>
                  <w:noWrap w:val="0"/>
                  <w:vAlign w:val="center"/>
                </w:tcPr>
                <w:p w14:paraId="12261C7B">
                  <w:pPr>
                    <w:keepNext w:val="0"/>
                    <w:keepLines w:val="0"/>
                    <w:widowControl w:val="0"/>
                    <w:suppressLineNumbers w:val="0"/>
                    <w:spacing w:before="0" w:beforeLines="0" w:beforeAutospacing="0" w:after="0" w:afterLines="0" w:afterAutospacing="0" w:line="240" w:lineRule="exact"/>
                    <w:ind w:left="0" w:leftChars="0" w:right="0" w:rightChars="0" w:firstLine="0" w:firstLineChars="0"/>
                    <w:jc w:val="center"/>
                    <w:rPr>
                      <w:rFonts w:hint="default" w:ascii="Times New Roman" w:hAnsi="Times New Roman" w:eastAsia="宋体" w:cs="Times New Roman"/>
                      <w:kern w:val="2"/>
                      <w:sz w:val="21"/>
                      <w:szCs w:val="21"/>
                      <w:lang w:eastAsia="zh-CN"/>
                    </w:rPr>
                  </w:pPr>
                </w:p>
              </w:tc>
              <w:tc>
                <w:tcPr>
                  <w:tcW w:w="703" w:type="pct"/>
                  <w:tcBorders>
                    <w:tl2br w:val="nil"/>
                    <w:tr2bl w:val="nil"/>
                  </w:tcBorders>
                  <w:noWrap w:val="0"/>
                  <w:vAlign w:val="center"/>
                </w:tcPr>
                <w:p w14:paraId="4FF5308B">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涂胶机</w:t>
                  </w:r>
                </w:p>
              </w:tc>
              <w:tc>
                <w:tcPr>
                  <w:tcW w:w="632" w:type="pct"/>
                  <w:tcBorders>
                    <w:tl2br w:val="nil"/>
                    <w:tr2bl w:val="nil"/>
                  </w:tcBorders>
                  <w:noWrap w:val="0"/>
                  <w:vAlign w:val="center"/>
                </w:tcPr>
                <w:p w14:paraId="78F306A2">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涂胶</w:t>
                  </w:r>
                </w:p>
              </w:tc>
              <w:tc>
                <w:tcPr>
                  <w:tcW w:w="777" w:type="pct"/>
                  <w:tcBorders>
                    <w:tl2br w:val="nil"/>
                    <w:tr2bl w:val="nil"/>
                  </w:tcBorders>
                  <w:noWrap w:val="0"/>
                  <w:vAlign w:val="center"/>
                </w:tcPr>
                <w:p w14:paraId="7B7EDF15">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VOCs</w:t>
                  </w:r>
                </w:p>
              </w:tc>
              <w:tc>
                <w:tcPr>
                  <w:tcW w:w="590" w:type="pct"/>
                  <w:tcBorders>
                    <w:tl2br w:val="nil"/>
                    <w:tr2bl w:val="nil"/>
                  </w:tcBorders>
                  <w:noWrap w:val="0"/>
                  <w:vAlign w:val="center"/>
                </w:tcPr>
                <w:p w14:paraId="1C24A526">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有组织</w:t>
                  </w:r>
                </w:p>
              </w:tc>
              <w:tc>
                <w:tcPr>
                  <w:tcW w:w="1239" w:type="pct"/>
                  <w:vMerge w:val="continue"/>
                  <w:tcBorders>
                    <w:tl2br w:val="nil"/>
                    <w:tr2bl w:val="nil"/>
                  </w:tcBorders>
                  <w:noWrap w:val="0"/>
                  <w:vAlign w:val="center"/>
                </w:tcPr>
                <w:p w14:paraId="56B80FC5">
                  <w:pPr>
                    <w:keepNext w:val="0"/>
                    <w:keepLines w:val="0"/>
                    <w:widowControl w:val="0"/>
                    <w:suppressLineNumbers w:val="0"/>
                    <w:spacing w:before="0" w:beforeLines="0" w:beforeAutospacing="0" w:after="0" w:afterLines="0" w:afterAutospacing="0" w:line="240" w:lineRule="exact"/>
                    <w:ind w:left="0" w:right="0"/>
                    <w:jc w:val="center"/>
                    <w:rPr>
                      <w:rFonts w:hint="eastAsia" w:cs="Times New Roman"/>
                      <w:kern w:val="2"/>
                      <w:sz w:val="21"/>
                      <w:szCs w:val="21"/>
                      <w:lang w:val="en-US" w:eastAsia="zh-CN" w:bidi="ar"/>
                    </w:rPr>
                  </w:pPr>
                </w:p>
              </w:tc>
            </w:tr>
            <w:tr w14:paraId="30B5CE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538A8C91">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41" w:type="pct"/>
                  <w:vMerge w:val="continue"/>
                  <w:tcBorders>
                    <w:tl2br w:val="nil"/>
                    <w:tr2bl w:val="nil"/>
                  </w:tcBorders>
                  <w:noWrap w:val="0"/>
                  <w:vAlign w:val="center"/>
                </w:tcPr>
                <w:p w14:paraId="5D5AF25D">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p>
              </w:tc>
              <w:tc>
                <w:tcPr>
                  <w:tcW w:w="703" w:type="pct"/>
                  <w:tcBorders>
                    <w:tl2br w:val="nil"/>
                    <w:tr2bl w:val="nil"/>
                  </w:tcBorders>
                  <w:noWrap w:val="0"/>
                  <w:vAlign w:val="center"/>
                </w:tcPr>
                <w:p w14:paraId="46EB32F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封胶机</w:t>
                  </w:r>
                </w:p>
              </w:tc>
              <w:tc>
                <w:tcPr>
                  <w:tcW w:w="632" w:type="pct"/>
                  <w:tcBorders>
                    <w:tl2br w:val="nil"/>
                    <w:tr2bl w:val="nil"/>
                  </w:tcBorders>
                  <w:noWrap w:val="0"/>
                  <w:vAlign w:val="center"/>
                </w:tcPr>
                <w:p w14:paraId="7133CE4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封胶</w:t>
                  </w:r>
                </w:p>
              </w:tc>
              <w:tc>
                <w:tcPr>
                  <w:tcW w:w="777" w:type="pct"/>
                  <w:tcBorders>
                    <w:tl2br w:val="nil"/>
                    <w:tr2bl w:val="nil"/>
                  </w:tcBorders>
                  <w:noWrap w:val="0"/>
                  <w:vAlign w:val="center"/>
                </w:tcPr>
                <w:p w14:paraId="1C30FA1B">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VOCs</w:t>
                  </w:r>
                </w:p>
              </w:tc>
              <w:tc>
                <w:tcPr>
                  <w:tcW w:w="590" w:type="pct"/>
                  <w:tcBorders>
                    <w:tl2br w:val="nil"/>
                    <w:tr2bl w:val="nil"/>
                  </w:tcBorders>
                  <w:noWrap w:val="0"/>
                  <w:vAlign w:val="center"/>
                </w:tcPr>
                <w:p w14:paraId="59CEC82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有组织</w:t>
                  </w:r>
                </w:p>
              </w:tc>
              <w:tc>
                <w:tcPr>
                  <w:tcW w:w="1239" w:type="pct"/>
                  <w:vMerge w:val="continue"/>
                  <w:tcBorders>
                    <w:tl2br w:val="nil"/>
                    <w:tr2bl w:val="nil"/>
                  </w:tcBorders>
                  <w:noWrap w:val="0"/>
                  <w:vAlign w:val="center"/>
                </w:tcPr>
                <w:p w14:paraId="6AC2B7B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p>
              </w:tc>
            </w:tr>
            <w:tr w14:paraId="55F6BB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tcBorders>
                    <w:tl2br w:val="nil"/>
                    <w:tr2bl w:val="nil"/>
                  </w:tcBorders>
                  <w:noWrap w:val="0"/>
                  <w:vAlign w:val="center"/>
                </w:tcPr>
                <w:p w14:paraId="59D8C1C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噪声</w:t>
                  </w:r>
                </w:p>
              </w:tc>
              <w:tc>
                <w:tcPr>
                  <w:tcW w:w="641" w:type="pct"/>
                  <w:tcBorders>
                    <w:tl2br w:val="nil"/>
                    <w:tr2bl w:val="nil"/>
                  </w:tcBorders>
                  <w:noWrap w:val="0"/>
                  <w:vAlign w:val="center"/>
                </w:tcPr>
                <w:p w14:paraId="1CAAA3E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机械加工</w:t>
                  </w:r>
                </w:p>
              </w:tc>
              <w:tc>
                <w:tcPr>
                  <w:tcW w:w="703" w:type="pct"/>
                  <w:tcBorders>
                    <w:tl2br w:val="nil"/>
                    <w:tr2bl w:val="nil"/>
                  </w:tcBorders>
                  <w:noWrap w:val="0"/>
                  <w:vAlign w:val="center"/>
                </w:tcPr>
                <w:p w14:paraId="55362E3B">
                  <w:pPr>
                    <w:keepNext w:val="0"/>
                    <w:keepLines w:val="0"/>
                    <w:widowControl w:val="0"/>
                    <w:suppressLineNumbers w:val="0"/>
                    <w:spacing w:before="0" w:beforeLines="0" w:beforeAutospacing="0" w:after="0" w:afterLines="0" w:afterAutospacing="0" w:line="24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打磨机，清洗机，</w:t>
                  </w:r>
                  <w:r>
                    <w:rPr>
                      <w:rFonts w:hint="eastAsia" w:cs="Times New Roman"/>
                      <w:kern w:val="2"/>
                      <w:sz w:val="21"/>
                      <w:szCs w:val="21"/>
                      <w:lang w:val="en-US" w:eastAsia="zh-CN" w:bidi="ar"/>
                    </w:rPr>
                    <w:t>钢化炉</w:t>
                  </w:r>
                  <w:r>
                    <w:rPr>
                      <w:rFonts w:hint="default" w:ascii="Times New Roman" w:hAnsi="Times New Roman" w:eastAsia="宋体" w:cs="Times New Roman"/>
                      <w:kern w:val="2"/>
                      <w:sz w:val="21"/>
                      <w:szCs w:val="21"/>
                      <w:lang w:val="en-US" w:eastAsia="zh-CN" w:bidi="ar"/>
                    </w:rPr>
                    <w:t>，风机等设备</w:t>
                  </w:r>
                </w:p>
              </w:tc>
              <w:tc>
                <w:tcPr>
                  <w:tcW w:w="632" w:type="pct"/>
                  <w:tcBorders>
                    <w:tl2br w:val="nil"/>
                    <w:tr2bl w:val="nil"/>
                  </w:tcBorders>
                  <w:noWrap w:val="0"/>
                  <w:vAlign w:val="center"/>
                </w:tcPr>
                <w:p w14:paraId="1DA5D9C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生产噪声</w:t>
                  </w:r>
                </w:p>
              </w:tc>
              <w:tc>
                <w:tcPr>
                  <w:tcW w:w="777" w:type="pct"/>
                  <w:tcBorders>
                    <w:tl2br w:val="nil"/>
                    <w:tr2bl w:val="nil"/>
                  </w:tcBorders>
                  <w:noWrap w:val="0"/>
                  <w:vAlign w:val="center"/>
                </w:tcPr>
                <w:p w14:paraId="0BCB8952">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dB（A）</w:t>
                  </w:r>
                </w:p>
              </w:tc>
              <w:tc>
                <w:tcPr>
                  <w:tcW w:w="590" w:type="pct"/>
                  <w:tcBorders>
                    <w:tl2br w:val="nil"/>
                    <w:tr2bl w:val="nil"/>
                  </w:tcBorders>
                  <w:noWrap w:val="0"/>
                  <w:vAlign w:val="center"/>
                </w:tcPr>
                <w:p w14:paraId="39636A85">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1239" w:type="pct"/>
                  <w:tcBorders>
                    <w:tl2br w:val="nil"/>
                    <w:tr2bl w:val="nil"/>
                  </w:tcBorders>
                  <w:noWrap w:val="0"/>
                  <w:vAlign w:val="center"/>
                </w:tcPr>
                <w:p w14:paraId="2D43BFA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隔声、减振等</w:t>
                  </w:r>
                </w:p>
              </w:tc>
            </w:tr>
            <w:tr w14:paraId="6F886B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restart"/>
                  <w:tcBorders>
                    <w:tl2br w:val="nil"/>
                    <w:tr2bl w:val="nil"/>
                  </w:tcBorders>
                  <w:noWrap w:val="0"/>
                  <w:vAlign w:val="center"/>
                </w:tcPr>
                <w:p w14:paraId="33BCEC5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固废</w:t>
                  </w:r>
                </w:p>
              </w:tc>
              <w:tc>
                <w:tcPr>
                  <w:tcW w:w="641" w:type="pct"/>
                  <w:vMerge w:val="restart"/>
                  <w:tcBorders>
                    <w:tl2br w:val="nil"/>
                    <w:tr2bl w:val="nil"/>
                  </w:tcBorders>
                  <w:noWrap w:val="0"/>
                  <w:vAlign w:val="center"/>
                </w:tcPr>
                <w:p w14:paraId="07CA977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钢化玻璃生产线</w:t>
                  </w:r>
                </w:p>
              </w:tc>
              <w:tc>
                <w:tcPr>
                  <w:tcW w:w="703" w:type="pct"/>
                  <w:tcBorders>
                    <w:tl2br w:val="nil"/>
                    <w:tr2bl w:val="nil"/>
                  </w:tcBorders>
                  <w:noWrap w:val="0"/>
                  <w:vAlign w:val="center"/>
                </w:tcPr>
                <w:p w14:paraId="7A096FF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eastAsia" w:cs="Times New Roman"/>
                      <w:kern w:val="2"/>
                      <w:sz w:val="21"/>
                      <w:szCs w:val="21"/>
                      <w:lang w:eastAsia="zh-CN"/>
                    </w:rPr>
                    <w:t>切割</w:t>
                  </w:r>
                  <w:r>
                    <w:rPr>
                      <w:rFonts w:hint="default" w:ascii="Times New Roman" w:hAnsi="Times New Roman" w:eastAsia="宋体" w:cs="Times New Roman"/>
                      <w:kern w:val="2"/>
                      <w:sz w:val="21"/>
                      <w:szCs w:val="21"/>
                      <w:lang w:eastAsia="zh-CN"/>
                    </w:rPr>
                    <w:t>机</w:t>
                  </w:r>
                </w:p>
              </w:tc>
              <w:tc>
                <w:tcPr>
                  <w:tcW w:w="632" w:type="pct"/>
                  <w:tcBorders>
                    <w:tl2br w:val="nil"/>
                    <w:tr2bl w:val="nil"/>
                  </w:tcBorders>
                  <w:noWrap w:val="0"/>
                  <w:vAlign w:val="center"/>
                </w:tcPr>
                <w:p w14:paraId="6866178B">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裁片</w:t>
                  </w:r>
                </w:p>
              </w:tc>
              <w:tc>
                <w:tcPr>
                  <w:tcW w:w="777" w:type="pct"/>
                  <w:tcBorders>
                    <w:tl2br w:val="nil"/>
                    <w:tr2bl w:val="nil"/>
                  </w:tcBorders>
                  <w:noWrap w:val="0"/>
                  <w:vAlign w:val="center"/>
                </w:tcPr>
                <w:p w14:paraId="1859A41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边角料</w:t>
                  </w:r>
                </w:p>
              </w:tc>
              <w:tc>
                <w:tcPr>
                  <w:tcW w:w="590" w:type="pct"/>
                  <w:tcBorders>
                    <w:tl2br w:val="nil"/>
                    <w:tr2bl w:val="nil"/>
                  </w:tcBorders>
                  <w:noWrap w:val="0"/>
                  <w:vAlign w:val="center"/>
                </w:tcPr>
                <w:p w14:paraId="60166C42">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不排放</w:t>
                  </w:r>
                </w:p>
              </w:tc>
              <w:tc>
                <w:tcPr>
                  <w:tcW w:w="1239" w:type="pct"/>
                  <w:vMerge w:val="restart"/>
                  <w:tcBorders>
                    <w:tl2br w:val="nil"/>
                    <w:tr2bl w:val="nil"/>
                  </w:tcBorders>
                  <w:noWrap w:val="0"/>
                  <w:vAlign w:val="center"/>
                </w:tcPr>
                <w:p w14:paraId="19B924D2">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收集后暂存一般废物暂存间，统一外售</w:t>
                  </w:r>
                </w:p>
                <w:p w14:paraId="4F36EE4C">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149F3F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20C7803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c>
                <w:tcPr>
                  <w:tcW w:w="641" w:type="pct"/>
                  <w:vMerge w:val="continue"/>
                  <w:tcBorders>
                    <w:tl2br w:val="nil"/>
                    <w:tr2bl w:val="nil"/>
                  </w:tcBorders>
                  <w:noWrap w:val="0"/>
                  <w:vAlign w:val="center"/>
                </w:tcPr>
                <w:p w14:paraId="4CD27C3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c>
                <w:tcPr>
                  <w:tcW w:w="703" w:type="pct"/>
                  <w:tcBorders>
                    <w:tl2br w:val="nil"/>
                    <w:tr2bl w:val="nil"/>
                  </w:tcBorders>
                  <w:noWrap w:val="0"/>
                  <w:vAlign w:val="center"/>
                </w:tcPr>
                <w:p w14:paraId="167FCF8D">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eastAsia="zh-CN"/>
                    </w:rPr>
                  </w:pPr>
                  <w:r>
                    <w:rPr>
                      <w:rFonts w:hint="eastAsia" w:cs="Times New Roman"/>
                      <w:kern w:val="2"/>
                      <w:sz w:val="21"/>
                      <w:szCs w:val="21"/>
                      <w:lang w:eastAsia="zh-CN"/>
                    </w:rPr>
                    <w:t>打磨</w:t>
                  </w:r>
                  <w:r>
                    <w:rPr>
                      <w:rFonts w:hint="default" w:ascii="Times New Roman" w:hAnsi="Times New Roman" w:eastAsia="宋体" w:cs="Times New Roman"/>
                      <w:kern w:val="2"/>
                      <w:sz w:val="21"/>
                      <w:szCs w:val="21"/>
                      <w:lang w:eastAsia="zh-CN"/>
                    </w:rPr>
                    <w:t>机</w:t>
                  </w:r>
                </w:p>
              </w:tc>
              <w:tc>
                <w:tcPr>
                  <w:tcW w:w="632" w:type="pct"/>
                  <w:tcBorders>
                    <w:tl2br w:val="nil"/>
                    <w:tr2bl w:val="nil"/>
                  </w:tcBorders>
                  <w:noWrap w:val="0"/>
                  <w:vAlign w:val="center"/>
                </w:tcPr>
                <w:p w14:paraId="5E2441D1">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磨边</w:t>
                  </w:r>
                </w:p>
              </w:tc>
              <w:tc>
                <w:tcPr>
                  <w:tcW w:w="777" w:type="pct"/>
                  <w:tcBorders>
                    <w:tl2br w:val="nil"/>
                    <w:tr2bl w:val="nil"/>
                  </w:tcBorders>
                  <w:noWrap w:val="0"/>
                  <w:vAlign w:val="center"/>
                </w:tcPr>
                <w:p w14:paraId="2AC152CA">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玻璃渣</w:t>
                  </w:r>
                </w:p>
              </w:tc>
              <w:tc>
                <w:tcPr>
                  <w:tcW w:w="590" w:type="pct"/>
                  <w:tcBorders>
                    <w:tl2br w:val="nil"/>
                    <w:tr2bl w:val="nil"/>
                  </w:tcBorders>
                  <w:noWrap w:val="0"/>
                  <w:vAlign w:val="center"/>
                </w:tcPr>
                <w:p w14:paraId="50017CD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4B27FE2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47A7C5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4078ED6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vMerge w:val="continue"/>
                  <w:tcBorders>
                    <w:tl2br w:val="nil"/>
                    <w:tr2bl w:val="nil"/>
                  </w:tcBorders>
                  <w:noWrap w:val="0"/>
                  <w:vAlign w:val="center"/>
                </w:tcPr>
                <w:p w14:paraId="2534B14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p>
              </w:tc>
              <w:tc>
                <w:tcPr>
                  <w:tcW w:w="703" w:type="pct"/>
                  <w:tcBorders>
                    <w:tl2br w:val="nil"/>
                    <w:tr2bl w:val="nil"/>
                  </w:tcBorders>
                  <w:noWrap w:val="0"/>
                  <w:vAlign w:val="center"/>
                </w:tcPr>
                <w:p w14:paraId="699A805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钢化炉</w:t>
                  </w:r>
                </w:p>
              </w:tc>
              <w:tc>
                <w:tcPr>
                  <w:tcW w:w="632" w:type="pct"/>
                  <w:tcBorders>
                    <w:tl2br w:val="nil"/>
                    <w:tr2bl w:val="nil"/>
                  </w:tcBorders>
                  <w:noWrap w:val="0"/>
                  <w:vAlign w:val="center"/>
                </w:tcPr>
                <w:p w14:paraId="02221275">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钢化</w:t>
                  </w:r>
                </w:p>
              </w:tc>
              <w:tc>
                <w:tcPr>
                  <w:tcW w:w="777" w:type="pct"/>
                  <w:tcBorders>
                    <w:tl2br w:val="nil"/>
                    <w:tr2bl w:val="nil"/>
                  </w:tcBorders>
                  <w:noWrap w:val="0"/>
                  <w:vAlign w:val="center"/>
                </w:tcPr>
                <w:p w14:paraId="07DE5024">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玻璃渣</w:t>
                  </w:r>
                </w:p>
              </w:tc>
              <w:tc>
                <w:tcPr>
                  <w:tcW w:w="590" w:type="pct"/>
                  <w:tcBorders>
                    <w:tl2br w:val="nil"/>
                    <w:tr2bl w:val="nil"/>
                  </w:tcBorders>
                  <w:noWrap w:val="0"/>
                  <w:vAlign w:val="center"/>
                </w:tcPr>
                <w:p w14:paraId="2471532B">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48F98874">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4BFB3D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7D05729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vMerge w:val="continue"/>
                  <w:tcBorders>
                    <w:tl2br w:val="nil"/>
                    <w:tr2bl w:val="nil"/>
                  </w:tcBorders>
                  <w:noWrap w:val="0"/>
                  <w:vAlign w:val="center"/>
                </w:tcPr>
                <w:p w14:paraId="548A9F7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p>
              </w:tc>
              <w:tc>
                <w:tcPr>
                  <w:tcW w:w="703" w:type="pct"/>
                  <w:tcBorders>
                    <w:tl2br w:val="nil"/>
                    <w:tr2bl w:val="nil"/>
                  </w:tcBorders>
                  <w:noWrap w:val="0"/>
                  <w:vAlign w:val="center"/>
                </w:tcPr>
                <w:p w14:paraId="4CE4FBA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废水处理压滤机</w:t>
                  </w:r>
                </w:p>
              </w:tc>
              <w:tc>
                <w:tcPr>
                  <w:tcW w:w="632" w:type="pct"/>
                  <w:tcBorders>
                    <w:tl2br w:val="nil"/>
                    <w:tr2bl w:val="nil"/>
                  </w:tcBorders>
                  <w:noWrap w:val="0"/>
                  <w:vAlign w:val="center"/>
                </w:tcPr>
                <w:p w14:paraId="3C68AC58">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压滤</w:t>
                  </w:r>
                </w:p>
              </w:tc>
              <w:tc>
                <w:tcPr>
                  <w:tcW w:w="777" w:type="pct"/>
                  <w:tcBorders>
                    <w:tl2br w:val="nil"/>
                    <w:tr2bl w:val="nil"/>
                  </w:tcBorders>
                  <w:noWrap w:val="0"/>
                  <w:vAlign w:val="center"/>
                </w:tcPr>
                <w:p w14:paraId="37D0B27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滤渣</w:t>
                  </w:r>
                </w:p>
              </w:tc>
              <w:tc>
                <w:tcPr>
                  <w:tcW w:w="590" w:type="pct"/>
                  <w:tcBorders>
                    <w:tl2br w:val="nil"/>
                    <w:tr2bl w:val="nil"/>
                  </w:tcBorders>
                  <w:noWrap w:val="0"/>
                  <w:vAlign w:val="center"/>
                </w:tcPr>
                <w:p w14:paraId="4CA25B4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5C1987F2">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18F5DC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35A87705">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vMerge w:val="restart"/>
                  <w:tcBorders>
                    <w:tl2br w:val="nil"/>
                    <w:tr2bl w:val="nil"/>
                  </w:tcBorders>
                  <w:noWrap w:val="0"/>
                  <w:vAlign w:val="center"/>
                </w:tcPr>
                <w:p w14:paraId="646DFE9B">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中空玻璃生产线</w:t>
                  </w:r>
                </w:p>
              </w:tc>
              <w:tc>
                <w:tcPr>
                  <w:tcW w:w="703" w:type="pct"/>
                  <w:tcBorders>
                    <w:tl2br w:val="nil"/>
                    <w:tr2bl w:val="nil"/>
                  </w:tcBorders>
                  <w:noWrap w:val="0"/>
                  <w:vAlign w:val="center"/>
                </w:tcPr>
                <w:p w14:paraId="5933FB2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铝条折弯机</w:t>
                  </w:r>
                </w:p>
              </w:tc>
              <w:tc>
                <w:tcPr>
                  <w:tcW w:w="632" w:type="pct"/>
                  <w:tcBorders>
                    <w:tl2br w:val="nil"/>
                    <w:tr2bl w:val="nil"/>
                  </w:tcBorders>
                  <w:noWrap w:val="0"/>
                  <w:vAlign w:val="center"/>
                </w:tcPr>
                <w:p w14:paraId="0068B42F">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制框</w:t>
                  </w:r>
                </w:p>
              </w:tc>
              <w:tc>
                <w:tcPr>
                  <w:tcW w:w="777" w:type="pct"/>
                  <w:tcBorders>
                    <w:tl2br w:val="nil"/>
                    <w:tr2bl w:val="nil"/>
                  </w:tcBorders>
                  <w:noWrap w:val="0"/>
                  <w:vAlign w:val="center"/>
                </w:tcPr>
                <w:p w14:paraId="544C5A1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废铝条</w:t>
                  </w:r>
                </w:p>
              </w:tc>
              <w:tc>
                <w:tcPr>
                  <w:tcW w:w="590" w:type="pct"/>
                  <w:tcBorders>
                    <w:tl2br w:val="nil"/>
                    <w:tr2bl w:val="nil"/>
                  </w:tcBorders>
                  <w:noWrap w:val="0"/>
                  <w:vAlign w:val="center"/>
                </w:tcPr>
                <w:p w14:paraId="01D65894">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6FACCEBB">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147210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5DF61E1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vMerge w:val="continue"/>
                  <w:tcBorders>
                    <w:tl2br w:val="nil"/>
                    <w:tr2bl w:val="nil"/>
                  </w:tcBorders>
                  <w:noWrap w:val="0"/>
                  <w:vAlign w:val="center"/>
                </w:tcPr>
                <w:p w14:paraId="62497694">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c>
                <w:tcPr>
                  <w:tcW w:w="703" w:type="pct"/>
                  <w:tcBorders>
                    <w:tl2br w:val="nil"/>
                    <w:tr2bl w:val="nil"/>
                  </w:tcBorders>
                  <w:noWrap w:val="0"/>
                  <w:vAlign w:val="center"/>
                </w:tcPr>
                <w:p w14:paraId="326718ED">
                  <w:pPr>
                    <w:keepNext w:val="0"/>
                    <w:keepLines w:val="0"/>
                    <w:widowControl w:val="0"/>
                    <w:suppressLineNumbers w:val="0"/>
                    <w:spacing w:before="0" w:beforeLines="0" w:beforeAutospacing="0" w:after="0" w:afterLines="0" w:afterAutospacing="0" w:line="240" w:lineRule="exact"/>
                    <w:ind w:left="0" w:right="0"/>
                    <w:jc w:val="center"/>
                    <w:rPr>
                      <w:rFonts w:hint="eastAsia"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w:t>
                  </w:r>
                </w:p>
              </w:tc>
              <w:tc>
                <w:tcPr>
                  <w:tcW w:w="632" w:type="pct"/>
                  <w:tcBorders>
                    <w:tl2br w:val="nil"/>
                    <w:tr2bl w:val="nil"/>
                  </w:tcBorders>
                  <w:noWrap w:val="0"/>
                  <w:vAlign w:val="center"/>
                </w:tcPr>
                <w:p w14:paraId="170D1251">
                  <w:pPr>
                    <w:keepNext w:val="0"/>
                    <w:keepLines w:val="0"/>
                    <w:widowControl w:val="0"/>
                    <w:suppressLineNumbers w:val="0"/>
                    <w:spacing w:before="0" w:beforeLines="0" w:beforeAutospacing="0" w:after="0" w:afterLines="0" w:afterAutospacing="0" w:line="240" w:lineRule="exact"/>
                    <w:ind w:left="0" w:right="0"/>
                    <w:jc w:val="center"/>
                    <w:rPr>
                      <w:rFonts w:hint="eastAsia" w:cs="Times New Roman"/>
                      <w:kern w:val="2"/>
                      <w:sz w:val="21"/>
                      <w:szCs w:val="21"/>
                      <w:lang w:val="en-US" w:eastAsia="zh-CN" w:bidi="ar"/>
                    </w:rPr>
                  </w:pPr>
                  <w:r>
                    <w:rPr>
                      <w:rFonts w:hint="eastAsia" w:cs="Times New Roman"/>
                      <w:kern w:val="2"/>
                      <w:sz w:val="21"/>
                      <w:szCs w:val="21"/>
                      <w:lang w:val="en-US" w:eastAsia="zh-CN" w:bidi="ar"/>
                    </w:rPr>
                    <w:t>分子筛灌装</w:t>
                  </w:r>
                </w:p>
              </w:tc>
              <w:tc>
                <w:tcPr>
                  <w:tcW w:w="777" w:type="pct"/>
                  <w:tcBorders>
                    <w:tl2br w:val="nil"/>
                    <w:tr2bl w:val="nil"/>
                  </w:tcBorders>
                  <w:noWrap w:val="0"/>
                  <w:vAlign w:val="center"/>
                </w:tcPr>
                <w:p w14:paraId="2B330ADD">
                  <w:pPr>
                    <w:keepNext w:val="0"/>
                    <w:keepLines w:val="0"/>
                    <w:widowControl w:val="0"/>
                    <w:suppressLineNumbers w:val="0"/>
                    <w:spacing w:before="0" w:beforeLines="0" w:beforeAutospacing="0" w:after="0" w:afterLines="0" w:afterAutospacing="0" w:line="240" w:lineRule="exact"/>
                    <w:ind w:left="0" w:right="0"/>
                    <w:jc w:val="center"/>
                    <w:rPr>
                      <w:rFonts w:hint="eastAsia" w:cs="Times New Roman"/>
                      <w:kern w:val="2"/>
                      <w:sz w:val="21"/>
                      <w:szCs w:val="21"/>
                      <w:lang w:val="en-US" w:eastAsia="zh-CN" w:bidi="ar"/>
                    </w:rPr>
                  </w:pPr>
                  <w:r>
                    <w:rPr>
                      <w:rFonts w:hint="eastAsia" w:cs="Times New Roman"/>
                      <w:kern w:val="2"/>
                      <w:sz w:val="21"/>
                      <w:szCs w:val="21"/>
                      <w:lang w:val="en-US" w:eastAsia="zh-CN" w:bidi="ar"/>
                    </w:rPr>
                    <w:t>废包装</w:t>
                  </w:r>
                </w:p>
              </w:tc>
              <w:tc>
                <w:tcPr>
                  <w:tcW w:w="590" w:type="pct"/>
                  <w:tcBorders>
                    <w:tl2br w:val="nil"/>
                    <w:tr2bl w:val="nil"/>
                  </w:tcBorders>
                  <w:noWrap w:val="0"/>
                  <w:vAlign w:val="center"/>
                </w:tcPr>
                <w:p w14:paraId="322F02E2">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5BBC2321">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5FBBFC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7B84F81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41" w:type="pct"/>
                  <w:vMerge w:val="continue"/>
                  <w:tcBorders>
                    <w:tl2br w:val="nil"/>
                    <w:tr2bl w:val="nil"/>
                  </w:tcBorders>
                  <w:noWrap w:val="0"/>
                  <w:vAlign w:val="center"/>
                </w:tcPr>
                <w:p w14:paraId="2ABFE27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c>
                <w:tcPr>
                  <w:tcW w:w="703" w:type="pct"/>
                  <w:tcBorders>
                    <w:tl2br w:val="nil"/>
                    <w:tr2bl w:val="nil"/>
                  </w:tcBorders>
                  <w:noWrap w:val="0"/>
                  <w:vAlign w:val="center"/>
                </w:tcPr>
                <w:p w14:paraId="3B357F08">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eastAsia" w:cs="Times New Roman"/>
                      <w:kern w:val="2"/>
                      <w:sz w:val="21"/>
                      <w:szCs w:val="21"/>
                      <w:lang w:val="en-US" w:eastAsia="zh-CN" w:bidi="ar"/>
                    </w:rPr>
                    <w:t>调胶、</w:t>
                  </w:r>
                  <w:r>
                    <w:rPr>
                      <w:rFonts w:hint="default" w:ascii="Times New Roman" w:hAnsi="Times New Roman" w:eastAsia="宋体" w:cs="Times New Roman"/>
                      <w:kern w:val="2"/>
                      <w:sz w:val="21"/>
                      <w:szCs w:val="21"/>
                      <w:lang w:val="en-US" w:eastAsia="zh-CN" w:bidi="ar"/>
                    </w:rPr>
                    <w:t>涂胶机</w:t>
                  </w:r>
                </w:p>
              </w:tc>
              <w:tc>
                <w:tcPr>
                  <w:tcW w:w="632" w:type="pct"/>
                  <w:tcBorders>
                    <w:tl2br w:val="nil"/>
                    <w:tr2bl w:val="nil"/>
                  </w:tcBorders>
                  <w:noWrap w:val="0"/>
                  <w:vAlign w:val="center"/>
                </w:tcPr>
                <w:p w14:paraId="5A83180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eastAsia" w:cs="Times New Roman"/>
                      <w:kern w:val="2"/>
                      <w:sz w:val="21"/>
                      <w:szCs w:val="21"/>
                      <w:lang w:eastAsia="zh-CN"/>
                    </w:rPr>
                    <w:t>调胶、</w:t>
                  </w:r>
                  <w:r>
                    <w:rPr>
                      <w:rFonts w:hint="default" w:ascii="Times New Roman" w:hAnsi="Times New Roman" w:eastAsia="宋体" w:cs="Times New Roman"/>
                      <w:kern w:val="2"/>
                      <w:sz w:val="21"/>
                      <w:szCs w:val="21"/>
                      <w:lang w:eastAsia="zh-CN"/>
                    </w:rPr>
                    <w:t>涂胶</w:t>
                  </w:r>
                </w:p>
              </w:tc>
              <w:tc>
                <w:tcPr>
                  <w:tcW w:w="777" w:type="pct"/>
                  <w:tcBorders>
                    <w:tl2br w:val="nil"/>
                    <w:tr2bl w:val="nil"/>
                  </w:tcBorders>
                  <w:noWrap w:val="0"/>
                  <w:vAlign w:val="center"/>
                </w:tcPr>
                <w:p w14:paraId="64673D1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废胶桶</w:t>
                  </w:r>
                </w:p>
              </w:tc>
              <w:tc>
                <w:tcPr>
                  <w:tcW w:w="590" w:type="pct"/>
                  <w:tcBorders>
                    <w:tl2br w:val="nil"/>
                    <w:tr2bl w:val="nil"/>
                  </w:tcBorders>
                  <w:noWrap w:val="0"/>
                  <w:vAlign w:val="center"/>
                </w:tcPr>
                <w:p w14:paraId="01943DD9">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不排放</w:t>
                  </w:r>
                </w:p>
              </w:tc>
              <w:tc>
                <w:tcPr>
                  <w:tcW w:w="1239" w:type="pct"/>
                  <w:vMerge w:val="restart"/>
                  <w:tcBorders>
                    <w:tl2br w:val="nil"/>
                    <w:tr2bl w:val="nil"/>
                  </w:tcBorders>
                  <w:noWrap w:val="0"/>
                  <w:vAlign w:val="center"/>
                </w:tcPr>
                <w:p w14:paraId="626ED4A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收集后暂存于危险废物暂存间，委托有资质单位处理</w:t>
                  </w:r>
                </w:p>
                <w:p w14:paraId="10D4351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71AE7B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1865B2D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tcBorders>
                    <w:tl2br w:val="nil"/>
                    <w:tr2bl w:val="nil"/>
                  </w:tcBorders>
                  <w:noWrap w:val="0"/>
                  <w:vAlign w:val="center"/>
                </w:tcPr>
                <w:p w14:paraId="291C4DB4">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废气处理</w:t>
                  </w:r>
                </w:p>
              </w:tc>
              <w:tc>
                <w:tcPr>
                  <w:tcW w:w="703" w:type="pct"/>
                  <w:tcBorders>
                    <w:tl2br w:val="nil"/>
                    <w:tr2bl w:val="nil"/>
                  </w:tcBorders>
                  <w:noWrap w:val="0"/>
                  <w:vAlign w:val="center"/>
                </w:tcPr>
                <w:p w14:paraId="603266AD">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二级活性炭处理设施</w:t>
                  </w:r>
                </w:p>
              </w:tc>
              <w:tc>
                <w:tcPr>
                  <w:tcW w:w="632" w:type="pct"/>
                  <w:tcBorders>
                    <w:tl2br w:val="nil"/>
                    <w:tr2bl w:val="nil"/>
                  </w:tcBorders>
                  <w:noWrap w:val="0"/>
                  <w:vAlign w:val="center"/>
                </w:tcPr>
                <w:p w14:paraId="1E62F671">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废气处理</w:t>
                  </w:r>
                </w:p>
              </w:tc>
              <w:tc>
                <w:tcPr>
                  <w:tcW w:w="777" w:type="pct"/>
                  <w:tcBorders>
                    <w:tl2br w:val="nil"/>
                    <w:tr2bl w:val="nil"/>
                  </w:tcBorders>
                  <w:noWrap w:val="0"/>
                  <w:vAlign w:val="center"/>
                </w:tcPr>
                <w:p w14:paraId="484E0E0C">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废活性炭</w:t>
                  </w:r>
                </w:p>
              </w:tc>
              <w:tc>
                <w:tcPr>
                  <w:tcW w:w="590" w:type="pct"/>
                  <w:tcBorders>
                    <w:tl2br w:val="nil"/>
                    <w:tr2bl w:val="nil"/>
                  </w:tcBorders>
                  <w:noWrap w:val="0"/>
                  <w:vAlign w:val="center"/>
                </w:tcPr>
                <w:p w14:paraId="64E8523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2985A19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p>
              </w:tc>
            </w:tr>
            <w:tr w14:paraId="610874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7E08A5D6">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sz w:val="21"/>
                      <w:szCs w:val="21"/>
                    </w:rPr>
                  </w:pPr>
                </w:p>
              </w:tc>
              <w:tc>
                <w:tcPr>
                  <w:tcW w:w="641" w:type="pct"/>
                  <w:tcBorders>
                    <w:tl2br w:val="nil"/>
                    <w:tr2bl w:val="nil"/>
                  </w:tcBorders>
                  <w:noWrap w:val="0"/>
                  <w:vAlign w:val="center"/>
                </w:tcPr>
                <w:p w14:paraId="2828477E">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设备维修</w:t>
                  </w:r>
                </w:p>
              </w:tc>
              <w:tc>
                <w:tcPr>
                  <w:tcW w:w="703" w:type="pct"/>
                  <w:tcBorders>
                    <w:tl2br w:val="nil"/>
                    <w:tr2bl w:val="nil"/>
                  </w:tcBorders>
                  <w:noWrap w:val="0"/>
                  <w:vAlign w:val="center"/>
                </w:tcPr>
                <w:p w14:paraId="06F7D491">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w:t>
                  </w:r>
                </w:p>
              </w:tc>
              <w:tc>
                <w:tcPr>
                  <w:tcW w:w="632" w:type="pct"/>
                  <w:tcBorders>
                    <w:tl2br w:val="nil"/>
                    <w:tr2bl w:val="nil"/>
                  </w:tcBorders>
                  <w:noWrap w:val="0"/>
                  <w:vAlign w:val="center"/>
                </w:tcPr>
                <w:p w14:paraId="1B7FCAC0">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设备维修</w:t>
                  </w:r>
                </w:p>
              </w:tc>
              <w:tc>
                <w:tcPr>
                  <w:tcW w:w="777" w:type="pct"/>
                  <w:tcBorders>
                    <w:tl2br w:val="nil"/>
                    <w:tr2bl w:val="nil"/>
                  </w:tcBorders>
                  <w:noWrap w:val="0"/>
                  <w:vAlign w:val="center"/>
                </w:tcPr>
                <w:p w14:paraId="01D03E4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废</w:t>
                  </w:r>
                  <w:r>
                    <w:rPr>
                      <w:rFonts w:hint="eastAsia" w:cs="Times New Roman"/>
                      <w:kern w:val="2"/>
                      <w:sz w:val="21"/>
                      <w:szCs w:val="21"/>
                      <w:lang w:val="en-US" w:eastAsia="zh-CN" w:bidi="ar"/>
                    </w:rPr>
                    <w:t>机油</w:t>
                  </w:r>
                </w:p>
              </w:tc>
              <w:tc>
                <w:tcPr>
                  <w:tcW w:w="590" w:type="pct"/>
                  <w:tcBorders>
                    <w:tl2br w:val="nil"/>
                    <w:tr2bl w:val="nil"/>
                  </w:tcBorders>
                  <w:noWrap w:val="0"/>
                  <w:vAlign w:val="center"/>
                </w:tcPr>
                <w:p w14:paraId="40D4E1E8">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r>
                    <w:rPr>
                      <w:rFonts w:hint="default" w:ascii="Times New Roman" w:hAnsi="Times New Roman" w:eastAsia="宋体" w:cs="Times New Roman"/>
                      <w:kern w:val="2"/>
                      <w:sz w:val="21"/>
                      <w:szCs w:val="21"/>
                      <w:lang w:val="en-US" w:eastAsia="zh-CN" w:bidi="ar"/>
                    </w:rPr>
                    <w:t>不排放</w:t>
                  </w:r>
                </w:p>
              </w:tc>
              <w:tc>
                <w:tcPr>
                  <w:tcW w:w="1239" w:type="pct"/>
                  <w:vMerge w:val="continue"/>
                  <w:tcBorders>
                    <w:tl2br w:val="nil"/>
                    <w:tr2bl w:val="nil"/>
                  </w:tcBorders>
                  <w:noWrap w:val="0"/>
                  <w:vAlign w:val="center"/>
                </w:tcPr>
                <w:p w14:paraId="02EB2C6B">
                  <w:pPr>
                    <w:keepNext w:val="0"/>
                    <w:keepLines w:val="0"/>
                    <w:widowControl w:val="0"/>
                    <w:suppressLineNumbers w:val="0"/>
                    <w:spacing w:before="0" w:beforeLines="0" w:beforeAutospacing="0" w:after="0" w:afterLines="0" w:afterAutospacing="0" w:line="240" w:lineRule="exact"/>
                    <w:ind w:left="0" w:leftChars="0" w:right="0" w:rightChars="0"/>
                    <w:jc w:val="center"/>
                    <w:rPr>
                      <w:rFonts w:hint="default" w:ascii="Times New Roman" w:hAnsi="Times New Roman" w:eastAsia="宋体" w:cs="Times New Roman"/>
                      <w:kern w:val="2"/>
                      <w:sz w:val="21"/>
                      <w:szCs w:val="21"/>
                      <w:lang w:val="en-US" w:eastAsia="zh-CN" w:bidi="ar"/>
                    </w:rPr>
                  </w:pPr>
                </w:p>
              </w:tc>
            </w:tr>
            <w:tr w14:paraId="335FA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4" w:type="pct"/>
                  <w:vMerge w:val="continue"/>
                  <w:tcBorders>
                    <w:tl2br w:val="nil"/>
                    <w:tr2bl w:val="nil"/>
                  </w:tcBorders>
                  <w:noWrap w:val="0"/>
                  <w:vAlign w:val="center"/>
                </w:tcPr>
                <w:p w14:paraId="5D0CB8E9">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641" w:type="pct"/>
                  <w:tcBorders>
                    <w:tl2br w:val="nil"/>
                    <w:tr2bl w:val="nil"/>
                  </w:tcBorders>
                  <w:noWrap w:val="0"/>
                  <w:vAlign w:val="center"/>
                </w:tcPr>
                <w:p w14:paraId="1DFEDB47">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w:t>
                  </w:r>
                </w:p>
              </w:tc>
              <w:tc>
                <w:tcPr>
                  <w:tcW w:w="703" w:type="pct"/>
                  <w:tcBorders>
                    <w:tl2br w:val="nil"/>
                    <w:tr2bl w:val="nil"/>
                  </w:tcBorders>
                  <w:noWrap w:val="0"/>
                  <w:vAlign w:val="center"/>
                </w:tcPr>
                <w:p w14:paraId="32F40B8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632" w:type="pct"/>
                  <w:tcBorders>
                    <w:tl2br w:val="nil"/>
                    <w:tr2bl w:val="nil"/>
                  </w:tcBorders>
                  <w:noWrap w:val="0"/>
                  <w:vAlign w:val="center"/>
                </w:tcPr>
                <w:p w14:paraId="10A5764A">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777" w:type="pct"/>
                  <w:tcBorders>
                    <w:tl2br w:val="nil"/>
                    <w:tr2bl w:val="nil"/>
                  </w:tcBorders>
                  <w:noWrap w:val="0"/>
                  <w:vAlign w:val="center"/>
                </w:tcPr>
                <w:p w14:paraId="721829C5">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生活垃圾</w:t>
                  </w:r>
                </w:p>
              </w:tc>
              <w:tc>
                <w:tcPr>
                  <w:tcW w:w="590" w:type="pct"/>
                  <w:tcBorders>
                    <w:tl2br w:val="nil"/>
                    <w:tr2bl w:val="nil"/>
                  </w:tcBorders>
                  <w:noWrap w:val="0"/>
                  <w:vAlign w:val="center"/>
                </w:tcPr>
                <w:p w14:paraId="7F026503">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不排放</w:t>
                  </w:r>
                </w:p>
              </w:tc>
              <w:tc>
                <w:tcPr>
                  <w:tcW w:w="1239" w:type="pct"/>
                  <w:tcBorders>
                    <w:tl2br w:val="nil"/>
                    <w:tr2bl w:val="nil"/>
                  </w:tcBorders>
                  <w:noWrap w:val="0"/>
                  <w:vAlign w:val="center"/>
                </w:tcPr>
                <w:p w14:paraId="035D80B1">
                  <w:pPr>
                    <w:keepNext w:val="0"/>
                    <w:keepLines w:val="0"/>
                    <w:widowControl w:val="0"/>
                    <w:suppressLineNumbers w:val="0"/>
                    <w:spacing w:before="0" w:beforeLines="0" w:beforeAutospacing="0" w:after="0" w:afterLines="0" w:afterAutospacing="0" w:line="24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由垃圾桶收集后委托环卫部门清运</w:t>
                  </w:r>
                </w:p>
              </w:tc>
            </w:tr>
          </w:tbl>
          <w:p w14:paraId="67E19562">
            <w:pPr>
              <w:adjustRightInd w:val="0"/>
              <w:snapToGrid w:val="0"/>
              <w:rPr>
                <w:rFonts w:ascii="宋体" w:hAnsi="宋体"/>
                <w:bCs/>
                <w:color w:val="auto"/>
                <w:sz w:val="24"/>
                <w:szCs w:val="24"/>
              </w:rPr>
            </w:pPr>
          </w:p>
        </w:tc>
      </w:tr>
      <w:tr w14:paraId="3C039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6" w:hRule="atLeast"/>
        </w:trPr>
        <w:tc>
          <w:tcPr>
            <w:tcW w:w="451" w:type="dxa"/>
            <w:noWrap w:val="0"/>
            <w:vAlign w:val="center"/>
          </w:tcPr>
          <w:p w14:paraId="2A90070E">
            <w:pPr>
              <w:pStyle w:val="16"/>
              <w:adjustRightInd w:val="0"/>
              <w:snapToGrid w:val="0"/>
              <w:spacing w:before="0" w:beforeAutospacing="0" w:after="0" w:afterAutospacing="0"/>
              <w:jc w:val="center"/>
              <w:rPr>
                <w:rFonts w:cs="宋体"/>
                <w:color w:val="auto"/>
                <w:sz w:val="24"/>
                <w:szCs w:val="24"/>
                <w:lang w:val="en-US" w:eastAsia="zh-CN"/>
              </w:rPr>
            </w:pPr>
            <w:r>
              <w:rPr>
                <w:rFonts w:hint="eastAsia" w:cs="宋体"/>
                <w:bCs/>
                <w:color w:val="auto"/>
                <w:kern w:val="2"/>
                <w:sz w:val="24"/>
                <w:szCs w:val="24"/>
                <w:lang w:val="en-US" w:eastAsia="zh-CN"/>
              </w:rPr>
              <w:t>与项目有关的原有环境污染问题</w:t>
            </w:r>
          </w:p>
        </w:tc>
        <w:tc>
          <w:tcPr>
            <w:tcW w:w="9295" w:type="dxa"/>
            <w:noWrap w:val="0"/>
            <w:vAlign w:val="center"/>
          </w:tcPr>
          <w:p w14:paraId="6CF68F3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3DA425E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2E3871E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19515B3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项目选址于辽宁省铁岭市调兵山经济开发区南开发区，租赁沈阳新久利管业股份有限公司现有闲置厂房。本项目利用现有厂房及办公楼，不对厂区进行重新规划建设。沈阳新久利管业股份有</w:t>
            </w:r>
            <w:r>
              <w:rPr>
                <w:rFonts w:hint="default" w:ascii="Times New Roman" w:hAnsi="Times New Roman" w:eastAsia="宋体" w:cs="Times New Roman"/>
                <w:color w:val="000000"/>
                <w:kern w:val="0"/>
                <w:sz w:val="24"/>
                <w:szCs w:val="24"/>
                <w:lang w:val="en-US" w:eastAsia="zh-CN" w:bidi="ar"/>
              </w:rPr>
              <w:t>限公司</w:t>
            </w:r>
            <w:r>
              <w:rPr>
                <w:rFonts w:hint="default" w:ascii="Times New Roman" w:hAnsi="Times New Roman" w:cs="Times New Roman"/>
                <w:color w:val="000000"/>
                <w:kern w:val="0"/>
                <w:sz w:val="24"/>
                <w:szCs w:val="24"/>
                <w:lang w:val="en-US" w:eastAsia="zh-CN" w:bidi="ar"/>
              </w:rPr>
              <w:t>厂房已抵押给铁岭银行股份有限公司调兵山支行，本项目厂房租赁协议为建</w:t>
            </w:r>
            <w:r>
              <w:rPr>
                <w:rFonts w:hint="default" w:ascii="Times New Roman" w:hAnsi="Times New Roman" w:cs="Times New Roman"/>
                <w:color w:val="000000"/>
                <w:kern w:val="0"/>
                <w:sz w:val="24"/>
                <w:szCs w:val="24"/>
                <w:highlight w:val="none"/>
                <w:lang w:val="en-US" w:eastAsia="zh-CN" w:bidi="ar"/>
              </w:rPr>
              <w:t>设单位辽宁琅润钢化玻璃有限公司与铁岭银行股份有限公司调兵山支行签订</w:t>
            </w:r>
            <w:r>
              <w:rPr>
                <w:rFonts w:hint="eastAsia" w:cs="Times New Roman"/>
                <w:color w:val="000000"/>
                <w:kern w:val="0"/>
                <w:sz w:val="24"/>
                <w:szCs w:val="24"/>
                <w:highlight w:val="none"/>
                <w:lang w:val="en-US" w:eastAsia="zh-CN" w:bidi="ar"/>
              </w:rPr>
              <w:t>，租赁协议见附件4</w:t>
            </w:r>
            <w:r>
              <w:rPr>
                <w:rFonts w:hint="default" w:ascii="Times New Roman" w:hAnsi="Times New Roman" w:cs="Times New Roman"/>
                <w:color w:val="000000"/>
                <w:kern w:val="0"/>
                <w:sz w:val="24"/>
                <w:szCs w:val="24"/>
                <w:highlight w:val="none"/>
                <w:lang w:val="en-US" w:eastAsia="zh-CN" w:bidi="ar"/>
              </w:rPr>
              <w:t>。</w:t>
            </w:r>
            <w:r>
              <w:rPr>
                <w:rFonts w:hint="eastAsia" w:cs="Times New Roman"/>
                <w:color w:val="000000"/>
                <w:kern w:val="0"/>
                <w:sz w:val="24"/>
                <w:szCs w:val="24"/>
                <w:highlight w:val="none"/>
                <w:lang w:val="en-US" w:eastAsia="zh-CN" w:bidi="ar"/>
              </w:rPr>
              <w:t>租</w:t>
            </w:r>
            <w:r>
              <w:rPr>
                <w:rFonts w:hint="eastAsia" w:cs="Times New Roman"/>
                <w:color w:val="000000"/>
                <w:kern w:val="0"/>
                <w:sz w:val="24"/>
                <w:szCs w:val="24"/>
                <w:lang w:val="en-US" w:eastAsia="zh-CN" w:bidi="ar"/>
              </w:rPr>
              <w:t>用</w:t>
            </w:r>
            <w:r>
              <w:rPr>
                <w:rFonts w:hint="default" w:ascii="Times New Roman" w:hAnsi="Times New Roman" w:cs="Times New Roman"/>
                <w:color w:val="000000"/>
                <w:kern w:val="0"/>
                <w:sz w:val="24"/>
                <w:szCs w:val="24"/>
                <w:lang w:val="en-US" w:eastAsia="zh-CN" w:bidi="ar"/>
              </w:rPr>
              <w:t>厂房</w:t>
            </w:r>
            <w:r>
              <w:rPr>
                <w:rFonts w:hint="eastAsia" w:cs="Times New Roman"/>
                <w:color w:val="000000"/>
                <w:kern w:val="0"/>
                <w:sz w:val="24"/>
                <w:szCs w:val="24"/>
                <w:lang w:val="en-US" w:eastAsia="zh-CN" w:bidi="ar"/>
              </w:rPr>
              <w:t>现状</w:t>
            </w:r>
            <w:r>
              <w:rPr>
                <w:rFonts w:hint="default" w:ascii="Times New Roman" w:hAnsi="Times New Roman" w:cs="Times New Roman"/>
                <w:color w:val="000000"/>
                <w:kern w:val="0"/>
                <w:sz w:val="24"/>
                <w:szCs w:val="24"/>
                <w:lang w:val="en-US" w:eastAsia="zh-CN" w:bidi="ar"/>
              </w:rPr>
              <w:t>见下图2-4。</w:t>
            </w:r>
          </w:p>
          <w:p w14:paraId="31AC85CB">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kern w:val="0"/>
                <w:sz w:val="24"/>
                <w:szCs w:val="24"/>
                <w:lang w:val="en-US" w:eastAsia="zh-CN" w:bidi="ar"/>
              </w:rPr>
            </w:pPr>
          </w:p>
          <w:p w14:paraId="17D9163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000000"/>
                <w:kern w:val="0"/>
                <w:sz w:val="24"/>
                <w:szCs w:val="24"/>
                <w:lang w:val="en-US" w:eastAsia="zh-CN" w:bidi="ar"/>
              </w:rPr>
            </w:pPr>
          </w:p>
          <w:p w14:paraId="2777AA3E">
            <w:pPr>
              <w:pStyle w:val="27"/>
              <w:rPr>
                <w:rFonts w:hint="eastAsia"/>
                <w:lang w:val="en-US" w:eastAsia="zh-CN"/>
              </w:rPr>
            </w:pPr>
          </w:p>
          <w:p w14:paraId="40C7887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000000"/>
                <w:kern w:val="0"/>
                <w:sz w:val="24"/>
                <w:szCs w:val="24"/>
                <w:lang w:val="en-US" w:eastAsia="zh-CN" w:bidi="ar"/>
              </w:rPr>
            </w:pPr>
          </w:p>
          <w:p w14:paraId="5E605741">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cs="Times New Roman"/>
                <w:color w:val="000000"/>
                <w:kern w:val="0"/>
                <w:sz w:val="24"/>
                <w:szCs w:val="24"/>
                <w:lang w:val="en-US" w:eastAsia="zh-CN" w:bidi="ar"/>
              </w:rPr>
            </w:pPr>
          </w:p>
        </w:tc>
      </w:tr>
      <w:tr w14:paraId="77A21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7" w:hRule="atLeast"/>
        </w:trPr>
        <w:tc>
          <w:tcPr>
            <w:tcW w:w="451" w:type="dxa"/>
            <w:noWrap w:val="0"/>
            <w:vAlign w:val="center"/>
          </w:tcPr>
          <w:p w14:paraId="3F1E05B0">
            <w:pPr>
              <w:pStyle w:val="16"/>
              <w:adjustRightInd w:val="0"/>
              <w:snapToGrid w:val="0"/>
              <w:spacing w:before="0" w:beforeAutospacing="0" w:after="0" w:afterAutospacing="0"/>
              <w:jc w:val="center"/>
              <w:rPr>
                <w:rFonts w:hint="eastAsia" w:cs="宋体"/>
                <w:bCs/>
                <w:color w:val="auto"/>
                <w:kern w:val="2"/>
                <w:sz w:val="24"/>
                <w:szCs w:val="24"/>
                <w:lang w:val="en-US" w:eastAsia="zh-CN"/>
              </w:rPr>
            </w:pPr>
          </w:p>
        </w:tc>
        <w:tc>
          <w:tcPr>
            <w:tcW w:w="9295" w:type="dxa"/>
            <w:noWrap w:val="0"/>
            <w:vAlign w:val="center"/>
          </w:tcPr>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14:paraId="1C32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9" w:type="dxa"/>
                </w:tcPr>
                <w:p w14:paraId="0AFEC854">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vertAlign w:val="baseline"/>
                    </w:rPr>
                  </w:pPr>
                  <w:r>
                    <w:rPr>
                      <w:rFonts w:hint="eastAsia" w:ascii="Times New Roman" w:hAnsi="Times New Roman" w:eastAsia="宋体" w:cs="Times New Roman"/>
                      <w:bCs/>
                      <w:color w:val="auto"/>
                      <w:sz w:val="24"/>
                      <w:szCs w:val="24"/>
                      <w:lang w:eastAsia="zh-CN"/>
                    </w:rPr>
                    <w:drawing>
                      <wp:inline distT="0" distB="0" distL="114300" distR="114300">
                        <wp:extent cx="5720080" cy="4288155"/>
                        <wp:effectExtent l="0" t="0" r="13970" b="17145"/>
                        <wp:docPr id="239" name="图片 239" descr="微信图片_2024102216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微信图片_20241022164807"/>
                                <pic:cNvPicPr>
                                  <a:picLocks noChangeAspect="1"/>
                                </pic:cNvPicPr>
                              </pic:nvPicPr>
                              <pic:blipFill>
                                <a:blip r:embed="rId14"/>
                                <a:stretch>
                                  <a:fillRect/>
                                </a:stretch>
                              </pic:blipFill>
                              <pic:spPr>
                                <a:xfrm>
                                  <a:off x="0" y="0"/>
                                  <a:ext cx="5720080" cy="4288155"/>
                                </a:xfrm>
                                <a:prstGeom prst="rect">
                                  <a:avLst/>
                                </a:prstGeom>
                              </pic:spPr>
                            </pic:pic>
                          </a:graphicData>
                        </a:graphic>
                      </wp:inline>
                    </w:drawing>
                  </w:r>
                </w:p>
              </w:tc>
            </w:tr>
            <w:tr w14:paraId="4B9B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59FE33FF">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5606415" cy="4203065"/>
                        <wp:effectExtent l="0" t="0" r="13335" b="6985"/>
                        <wp:docPr id="240" name="图片 240" descr="微信图片_2024102216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微信图片_20241022164821"/>
                                <pic:cNvPicPr>
                                  <a:picLocks noChangeAspect="1"/>
                                </pic:cNvPicPr>
                              </pic:nvPicPr>
                              <pic:blipFill>
                                <a:blip r:embed="rId15"/>
                                <a:stretch>
                                  <a:fillRect/>
                                </a:stretch>
                              </pic:blipFill>
                              <pic:spPr>
                                <a:xfrm>
                                  <a:off x="0" y="0"/>
                                  <a:ext cx="5606415" cy="4203065"/>
                                </a:xfrm>
                                <a:prstGeom prst="rect">
                                  <a:avLst/>
                                </a:prstGeom>
                              </pic:spPr>
                            </pic:pic>
                          </a:graphicData>
                        </a:graphic>
                      </wp:inline>
                    </w:drawing>
                  </w:r>
                </w:p>
              </w:tc>
            </w:tr>
            <w:tr w14:paraId="673F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9" w:type="dxa"/>
                </w:tcPr>
                <w:p w14:paraId="7694C8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eastAsia="宋体"/>
                      <w:vertAlign w:val="baseline"/>
                      <w:lang w:val="en-US" w:eastAsia="zh-CN"/>
                    </w:rPr>
                  </w:pPr>
                  <w:r>
                    <w:rPr>
                      <w:rFonts w:hint="eastAsia"/>
                      <w:b/>
                      <w:bCs/>
                      <w:vertAlign w:val="baseline"/>
                      <w:lang w:val="en-US" w:eastAsia="zh-CN"/>
                    </w:rPr>
                    <w:t>图2-4  租赁厂房现状</w:t>
                  </w:r>
                </w:p>
              </w:tc>
            </w:tr>
          </w:tbl>
          <w:p w14:paraId="5A7CB872">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tc>
      </w:tr>
    </w:tbl>
    <w:p w14:paraId="63DC6CC2">
      <w:pPr>
        <w:rPr>
          <w:rFonts w:hint="eastAsia" w:ascii="黑体" w:hAnsi="黑体" w:eastAsia="黑体"/>
          <w:snapToGrid w:val="0"/>
          <w:color w:val="auto"/>
          <w:sz w:val="30"/>
          <w:szCs w:val="30"/>
        </w:rPr>
      </w:pPr>
      <w:r>
        <w:rPr>
          <w:rFonts w:hint="eastAsia" w:ascii="黑体" w:hAnsi="黑体" w:eastAsia="黑体"/>
          <w:snapToGrid w:val="0"/>
          <w:color w:val="auto"/>
          <w:sz w:val="30"/>
          <w:szCs w:val="30"/>
        </w:rPr>
        <w:br w:type="page"/>
      </w:r>
    </w:p>
    <w:p w14:paraId="03095621">
      <w:pPr>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9"/>
        <w:tblW w:w="959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8622"/>
      </w:tblGrid>
      <w:tr w14:paraId="22D8CF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77" w:type="dxa"/>
            <w:noWrap w:val="0"/>
            <w:vAlign w:val="center"/>
          </w:tcPr>
          <w:p w14:paraId="5957CF59">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区域</w:t>
            </w:r>
          </w:p>
          <w:p w14:paraId="08D11DFE">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环境</w:t>
            </w:r>
          </w:p>
          <w:p w14:paraId="21DEC0BF">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质量</w:t>
            </w:r>
          </w:p>
          <w:p w14:paraId="422A6A79">
            <w:pPr>
              <w:pStyle w:val="16"/>
              <w:adjustRightInd w:val="0"/>
              <w:snapToGrid w:val="0"/>
              <w:spacing w:before="0" w:beforeAutospacing="0" w:after="0" w:afterAutospacing="0"/>
              <w:jc w:val="center"/>
              <w:rPr>
                <w:rFonts w:cs="宋体"/>
                <w:bCs/>
                <w:color w:val="auto"/>
                <w:kern w:val="2"/>
                <w:sz w:val="24"/>
                <w:szCs w:val="24"/>
                <w:lang w:val="en-US" w:eastAsia="zh-CN"/>
              </w:rPr>
            </w:pPr>
            <w:r>
              <w:rPr>
                <w:rFonts w:hint="eastAsia" w:cs="宋体"/>
                <w:bCs/>
                <w:color w:val="auto"/>
                <w:kern w:val="2"/>
                <w:sz w:val="24"/>
                <w:szCs w:val="24"/>
                <w:lang w:val="en-US" w:eastAsia="zh-CN"/>
              </w:rPr>
              <w:t>现状</w:t>
            </w:r>
          </w:p>
        </w:tc>
        <w:tc>
          <w:tcPr>
            <w:tcW w:w="8622" w:type="dxa"/>
            <w:noWrap w:val="0"/>
            <w:vAlign w:val="center"/>
          </w:tcPr>
          <w:p w14:paraId="44691A53">
            <w:pPr>
              <w:numPr>
                <w:ilvl w:val="0"/>
                <w:numId w:val="6"/>
              </w:numPr>
              <w:spacing w:line="360" w:lineRule="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大气环境</w:t>
            </w:r>
          </w:p>
          <w:p w14:paraId="659A5D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z w:val="24"/>
                <w:szCs w:val="24"/>
                <w:lang w:eastAsia="zh-CN"/>
              </w:rPr>
            </w:pPr>
            <w:r>
              <w:rPr>
                <w:rFonts w:hint="eastAsia" w:cs="Times New Roman"/>
                <w:bCs/>
                <w:color w:val="auto"/>
                <w:sz w:val="24"/>
                <w:szCs w:val="24"/>
                <w:lang w:eastAsia="zh-CN"/>
              </w:rPr>
              <w:t>（</w:t>
            </w:r>
            <w:r>
              <w:rPr>
                <w:rFonts w:hint="eastAsia" w:cs="Times New Roman"/>
                <w:bCs/>
                <w:color w:val="auto"/>
                <w:sz w:val="24"/>
                <w:szCs w:val="24"/>
                <w:lang w:val="en-US" w:eastAsia="zh-CN"/>
              </w:rPr>
              <w:t>1</w:t>
            </w:r>
            <w:r>
              <w:rPr>
                <w:rFonts w:hint="eastAsia" w:cs="Times New Roman"/>
                <w:bCs/>
                <w:color w:val="auto"/>
                <w:sz w:val="24"/>
                <w:szCs w:val="24"/>
                <w:lang w:eastAsia="zh-CN"/>
              </w:rPr>
              <w:t>）</w:t>
            </w:r>
            <w:r>
              <w:rPr>
                <w:rFonts w:hint="eastAsia" w:ascii="Times New Roman" w:hAnsi="Times New Roman" w:eastAsia="宋体" w:cs="Times New Roman"/>
                <w:color w:val="auto"/>
                <w:spacing w:val="0"/>
                <w:kern w:val="0"/>
                <w:sz w:val="24"/>
                <w:szCs w:val="24"/>
                <w:lang w:val="en-US" w:eastAsia="zh-CN" w:bidi="ar-SA"/>
              </w:rPr>
              <w:t>铁岭市生态环境状况公报</w:t>
            </w:r>
          </w:p>
          <w:p w14:paraId="71246DA3">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pacing w:val="0"/>
                <w:kern w:val="0"/>
                <w:sz w:val="24"/>
                <w:szCs w:val="24"/>
                <w:lang w:val="en-US" w:eastAsia="zh-CN" w:bidi="ar-SA"/>
              </w:rPr>
            </w:pPr>
            <w:r>
              <w:rPr>
                <w:rFonts w:hint="eastAsia" w:ascii="Times New Roman" w:hAnsi="Times New Roman" w:eastAsia="宋体" w:cs="Times New Roman"/>
                <w:color w:val="auto"/>
                <w:spacing w:val="0"/>
                <w:kern w:val="0"/>
                <w:sz w:val="24"/>
                <w:szCs w:val="24"/>
                <w:lang w:val="en-US" w:eastAsia="zh-CN" w:bidi="ar-SA"/>
              </w:rPr>
              <w:t>根据《铁岭市生态环境状况公报（</w:t>
            </w:r>
            <w:r>
              <w:rPr>
                <w:rFonts w:hint="default" w:ascii="Times New Roman" w:hAnsi="Times New Roman" w:eastAsia="宋体" w:cs="Times New Roman"/>
                <w:color w:val="auto"/>
                <w:spacing w:val="0"/>
                <w:kern w:val="0"/>
                <w:sz w:val="24"/>
                <w:szCs w:val="24"/>
                <w:lang w:val="en-US" w:eastAsia="zh-CN" w:bidi="ar-SA"/>
              </w:rPr>
              <w:t>202</w:t>
            </w:r>
            <w:r>
              <w:rPr>
                <w:rFonts w:hint="eastAsia" w:ascii="Times New Roman" w:hAnsi="Times New Roman" w:eastAsia="宋体" w:cs="Times New Roman"/>
                <w:color w:val="auto"/>
                <w:spacing w:val="0"/>
                <w:kern w:val="0"/>
                <w:sz w:val="24"/>
                <w:szCs w:val="24"/>
                <w:lang w:val="en-US" w:eastAsia="zh-CN" w:bidi="ar-SA"/>
              </w:rPr>
              <w:t>3年）》，2023年铁岭市环境空气质量全年监测天数为365天，全年达标304天。具体监测结果见表3-1。</w:t>
            </w:r>
          </w:p>
          <w:p w14:paraId="59B8B4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sz w:val="21"/>
                <w:szCs w:val="21"/>
                <w:highlight w:val="none"/>
              </w:rPr>
            </w:pPr>
            <w:r>
              <w:rPr>
                <w:rFonts w:hint="eastAsia"/>
                <w:b/>
                <w:bCs/>
                <w:color w:val="000000"/>
                <w:sz w:val="21"/>
                <w:szCs w:val="21"/>
                <w:highlight w:val="none"/>
              </w:rPr>
              <w:t>表3-1铁岭市区域环境空气质量监测数据统计表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277"/>
              <w:gridCol w:w="1328"/>
              <w:gridCol w:w="1487"/>
              <w:gridCol w:w="1291"/>
              <w:gridCol w:w="1075"/>
            </w:tblGrid>
            <w:tr w14:paraId="6E26F0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6156EF01">
                  <w:pPr>
                    <w:adjustRightInd w:val="0"/>
                    <w:snapToGrid w:val="0"/>
                    <w:jc w:val="center"/>
                    <w:rPr>
                      <w:b/>
                      <w:bCs/>
                      <w:color w:val="000000"/>
                      <w:sz w:val="21"/>
                      <w:szCs w:val="21"/>
                      <w:highlight w:val="none"/>
                    </w:rPr>
                  </w:pPr>
                  <w:r>
                    <w:rPr>
                      <w:rFonts w:hint="eastAsia"/>
                      <w:b/>
                      <w:bCs/>
                      <w:color w:val="000000"/>
                      <w:sz w:val="21"/>
                      <w:szCs w:val="21"/>
                      <w:highlight w:val="none"/>
                    </w:rPr>
                    <w:t>污染物</w:t>
                  </w:r>
                </w:p>
              </w:tc>
              <w:tc>
                <w:tcPr>
                  <w:tcW w:w="1354" w:type="pct"/>
                  <w:tcBorders>
                    <w:tl2br w:val="nil"/>
                    <w:tr2bl w:val="nil"/>
                  </w:tcBorders>
                  <w:noWrap w:val="0"/>
                  <w:vAlign w:val="center"/>
                </w:tcPr>
                <w:p w14:paraId="638E10A4">
                  <w:pPr>
                    <w:adjustRightInd w:val="0"/>
                    <w:snapToGrid w:val="0"/>
                    <w:jc w:val="center"/>
                    <w:rPr>
                      <w:b/>
                      <w:bCs/>
                      <w:color w:val="000000"/>
                      <w:sz w:val="21"/>
                      <w:szCs w:val="21"/>
                      <w:highlight w:val="none"/>
                    </w:rPr>
                  </w:pPr>
                  <w:r>
                    <w:rPr>
                      <w:rFonts w:hint="eastAsia"/>
                      <w:b/>
                      <w:bCs/>
                      <w:color w:val="000000"/>
                      <w:sz w:val="21"/>
                      <w:szCs w:val="21"/>
                      <w:highlight w:val="none"/>
                    </w:rPr>
                    <w:t>年评价指标</w:t>
                  </w:r>
                </w:p>
              </w:tc>
              <w:tc>
                <w:tcPr>
                  <w:tcW w:w="790" w:type="pct"/>
                  <w:tcBorders>
                    <w:tl2br w:val="nil"/>
                    <w:tr2bl w:val="nil"/>
                  </w:tcBorders>
                  <w:noWrap w:val="0"/>
                  <w:vAlign w:val="center"/>
                </w:tcPr>
                <w:p w14:paraId="59EA37BC">
                  <w:pPr>
                    <w:adjustRightInd w:val="0"/>
                    <w:snapToGrid w:val="0"/>
                    <w:jc w:val="center"/>
                    <w:rPr>
                      <w:b/>
                      <w:bCs/>
                      <w:color w:val="000000"/>
                      <w:sz w:val="21"/>
                      <w:szCs w:val="21"/>
                      <w:highlight w:val="none"/>
                    </w:rPr>
                  </w:pPr>
                  <w:r>
                    <w:rPr>
                      <w:rFonts w:hint="eastAsia"/>
                      <w:b/>
                      <w:bCs/>
                      <w:color w:val="000000"/>
                      <w:sz w:val="21"/>
                      <w:szCs w:val="21"/>
                      <w:highlight w:val="none"/>
                    </w:rPr>
                    <w:t>浓度值</w:t>
                  </w:r>
                  <w:r>
                    <w:rPr>
                      <w:b/>
                      <w:bCs/>
                      <w:color w:val="000000"/>
                      <w:sz w:val="21"/>
                      <w:szCs w:val="21"/>
                      <w:highlight w:val="none"/>
                    </w:rPr>
                    <w:t>μg/m</w:t>
                  </w:r>
                  <w:r>
                    <w:rPr>
                      <w:b/>
                      <w:bCs/>
                      <w:color w:val="000000"/>
                      <w:sz w:val="21"/>
                      <w:szCs w:val="21"/>
                      <w:highlight w:val="none"/>
                      <w:vertAlign w:val="superscript"/>
                    </w:rPr>
                    <w:t>3</w:t>
                  </w:r>
                </w:p>
              </w:tc>
              <w:tc>
                <w:tcPr>
                  <w:tcW w:w="884" w:type="pct"/>
                  <w:tcBorders>
                    <w:tl2br w:val="nil"/>
                    <w:tr2bl w:val="nil"/>
                  </w:tcBorders>
                  <w:noWrap w:val="0"/>
                  <w:vAlign w:val="center"/>
                </w:tcPr>
                <w:p w14:paraId="20D10B0A">
                  <w:pPr>
                    <w:adjustRightInd w:val="0"/>
                    <w:snapToGrid w:val="0"/>
                    <w:jc w:val="center"/>
                    <w:rPr>
                      <w:b/>
                      <w:bCs/>
                      <w:color w:val="000000"/>
                      <w:sz w:val="21"/>
                      <w:szCs w:val="21"/>
                      <w:highlight w:val="none"/>
                    </w:rPr>
                  </w:pPr>
                  <w:r>
                    <w:rPr>
                      <w:rFonts w:hint="eastAsia"/>
                      <w:b/>
                      <w:bCs/>
                      <w:color w:val="000000"/>
                      <w:sz w:val="21"/>
                      <w:szCs w:val="21"/>
                      <w:highlight w:val="none"/>
                    </w:rPr>
                    <w:t>标准值</w:t>
                  </w:r>
                  <w:r>
                    <w:rPr>
                      <w:b/>
                      <w:bCs/>
                      <w:color w:val="000000"/>
                      <w:sz w:val="21"/>
                      <w:szCs w:val="21"/>
                      <w:highlight w:val="none"/>
                    </w:rPr>
                    <w:t>μg/m</w:t>
                  </w:r>
                  <w:r>
                    <w:rPr>
                      <w:b/>
                      <w:bCs/>
                      <w:color w:val="000000"/>
                      <w:sz w:val="21"/>
                      <w:szCs w:val="21"/>
                      <w:highlight w:val="none"/>
                      <w:vertAlign w:val="superscript"/>
                    </w:rPr>
                    <w:t>3</w:t>
                  </w:r>
                </w:p>
              </w:tc>
              <w:tc>
                <w:tcPr>
                  <w:tcW w:w="768" w:type="pct"/>
                  <w:tcBorders>
                    <w:tl2br w:val="nil"/>
                    <w:tr2bl w:val="nil"/>
                  </w:tcBorders>
                  <w:noWrap w:val="0"/>
                  <w:vAlign w:val="center"/>
                </w:tcPr>
                <w:p w14:paraId="439EE2C6">
                  <w:pPr>
                    <w:adjustRightInd w:val="0"/>
                    <w:snapToGrid w:val="0"/>
                    <w:jc w:val="center"/>
                    <w:rPr>
                      <w:b/>
                      <w:bCs/>
                      <w:color w:val="000000"/>
                      <w:sz w:val="21"/>
                      <w:szCs w:val="21"/>
                      <w:highlight w:val="none"/>
                    </w:rPr>
                  </w:pPr>
                  <w:r>
                    <w:rPr>
                      <w:rFonts w:hint="eastAsia"/>
                      <w:b/>
                      <w:bCs/>
                      <w:color w:val="000000"/>
                      <w:sz w:val="21"/>
                      <w:szCs w:val="21"/>
                      <w:highlight w:val="none"/>
                    </w:rPr>
                    <w:t>占标%</w:t>
                  </w:r>
                </w:p>
              </w:tc>
              <w:tc>
                <w:tcPr>
                  <w:tcW w:w="639" w:type="pct"/>
                  <w:tcBorders>
                    <w:tl2br w:val="nil"/>
                    <w:tr2bl w:val="nil"/>
                  </w:tcBorders>
                  <w:noWrap w:val="0"/>
                  <w:vAlign w:val="center"/>
                </w:tcPr>
                <w:p w14:paraId="2502580D">
                  <w:pPr>
                    <w:adjustRightInd w:val="0"/>
                    <w:snapToGrid w:val="0"/>
                    <w:jc w:val="center"/>
                    <w:rPr>
                      <w:b/>
                      <w:bCs/>
                      <w:color w:val="000000"/>
                      <w:sz w:val="21"/>
                      <w:szCs w:val="21"/>
                      <w:highlight w:val="none"/>
                    </w:rPr>
                  </w:pPr>
                  <w:r>
                    <w:rPr>
                      <w:rFonts w:hint="eastAsia"/>
                      <w:b/>
                      <w:bCs/>
                      <w:color w:val="000000"/>
                      <w:sz w:val="21"/>
                      <w:szCs w:val="21"/>
                      <w:highlight w:val="none"/>
                    </w:rPr>
                    <w:t>达标情况</w:t>
                  </w:r>
                </w:p>
              </w:tc>
            </w:tr>
            <w:tr w14:paraId="68D3F0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5C2A37E1">
                  <w:pPr>
                    <w:adjustRightInd w:val="0"/>
                    <w:snapToGrid w:val="0"/>
                    <w:jc w:val="center"/>
                    <w:rPr>
                      <w:color w:val="000000"/>
                      <w:sz w:val="21"/>
                      <w:szCs w:val="21"/>
                      <w:highlight w:val="none"/>
                    </w:rPr>
                  </w:pPr>
                  <w:r>
                    <w:rPr>
                      <w:rFonts w:hint="eastAsia"/>
                      <w:color w:val="000000"/>
                      <w:sz w:val="21"/>
                      <w:szCs w:val="21"/>
                      <w:highlight w:val="none"/>
                    </w:rPr>
                    <w:t>PM</w:t>
                  </w:r>
                  <w:r>
                    <w:rPr>
                      <w:rFonts w:hint="eastAsia"/>
                      <w:color w:val="000000"/>
                      <w:sz w:val="21"/>
                      <w:szCs w:val="21"/>
                      <w:highlight w:val="none"/>
                      <w:vertAlign w:val="subscript"/>
                    </w:rPr>
                    <w:t>2.5</w:t>
                  </w:r>
                </w:p>
              </w:tc>
              <w:tc>
                <w:tcPr>
                  <w:tcW w:w="1354" w:type="pct"/>
                  <w:tcBorders>
                    <w:tl2br w:val="nil"/>
                    <w:tr2bl w:val="nil"/>
                  </w:tcBorders>
                  <w:noWrap w:val="0"/>
                  <w:vAlign w:val="center"/>
                </w:tcPr>
                <w:p w14:paraId="475EFEA1">
                  <w:pPr>
                    <w:adjustRightInd w:val="0"/>
                    <w:snapToGrid w:val="0"/>
                    <w:jc w:val="center"/>
                    <w:rPr>
                      <w:color w:val="000000"/>
                      <w:sz w:val="21"/>
                      <w:szCs w:val="21"/>
                      <w:highlight w:val="none"/>
                    </w:rPr>
                  </w:pPr>
                  <w:r>
                    <w:rPr>
                      <w:rFonts w:hint="eastAsia"/>
                      <w:color w:val="000000"/>
                      <w:sz w:val="21"/>
                      <w:szCs w:val="21"/>
                      <w:highlight w:val="none"/>
                    </w:rPr>
                    <w:t>年平均质量浓度</w:t>
                  </w:r>
                </w:p>
              </w:tc>
              <w:tc>
                <w:tcPr>
                  <w:tcW w:w="790" w:type="pct"/>
                  <w:tcBorders>
                    <w:tl2br w:val="nil"/>
                    <w:tr2bl w:val="nil"/>
                  </w:tcBorders>
                  <w:noWrap w:val="0"/>
                  <w:vAlign w:val="center"/>
                </w:tcPr>
                <w:p w14:paraId="4714FCE6">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35</w:t>
                  </w:r>
                </w:p>
              </w:tc>
              <w:tc>
                <w:tcPr>
                  <w:tcW w:w="884" w:type="pct"/>
                  <w:tcBorders>
                    <w:tl2br w:val="nil"/>
                    <w:tr2bl w:val="nil"/>
                  </w:tcBorders>
                  <w:noWrap w:val="0"/>
                  <w:vAlign w:val="center"/>
                </w:tcPr>
                <w:p w14:paraId="66BB2191">
                  <w:pPr>
                    <w:adjustRightInd w:val="0"/>
                    <w:snapToGrid w:val="0"/>
                    <w:jc w:val="center"/>
                    <w:rPr>
                      <w:color w:val="000000"/>
                      <w:sz w:val="21"/>
                      <w:szCs w:val="21"/>
                      <w:highlight w:val="none"/>
                    </w:rPr>
                  </w:pPr>
                  <w:r>
                    <w:rPr>
                      <w:rFonts w:hint="eastAsia"/>
                      <w:color w:val="000000"/>
                      <w:sz w:val="21"/>
                      <w:szCs w:val="21"/>
                      <w:highlight w:val="none"/>
                    </w:rPr>
                    <w:t>35</w:t>
                  </w:r>
                </w:p>
              </w:tc>
              <w:tc>
                <w:tcPr>
                  <w:tcW w:w="768" w:type="pct"/>
                  <w:tcBorders>
                    <w:tl2br w:val="nil"/>
                    <w:tr2bl w:val="nil"/>
                  </w:tcBorders>
                  <w:noWrap w:val="0"/>
                  <w:vAlign w:val="center"/>
                </w:tcPr>
                <w:p w14:paraId="138664A6">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100</w:t>
                  </w:r>
                </w:p>
              </w:tc>
              <w:tc>
                <w:tcPr>
                  <w:tcW w:w="639" w:type="pct"/>
                  <w:tcBorders>
                    <w:tl2br w:val="nil"/>
                    <w:tr2bl w:val="nil"/>
                  </w:tcBorders>
                  <w:noWrap w:val="0"/>
                  <w:vAlign w:val="center"/>
                </w:tcPr>
                <w:p w14:paraId="2E7FF93B">
                  <w:pPr>
                    <w:adjustRightInd w:val="0"/>
                    <w:snapToGrid w:val="0"/>
                    <w:jc w:val="center"/>
                    <w:rPr>
                      <w:color w:val="000000"/>
                      <w:sz w:val="21"/>
                      <w:szCs w:val="21"/>
                      <w:highlight w:val="none"/>
                    </w:rPr>
                  </w:pPr>
                  <w:r>
                    <w:rPr>
                      <w:rFonts w:hint="eastAsia"/>
                      <w:color w:val="000000"/>
                      <w:sz w:val="21"/>
                      <w:szCs w:val="21"/>
                      <w:highlight w:val="none"/>
                    </w:rPr>
                    <w:t>达标</w:t>
                  </w:r>
                </w:p>
              </w:tc>
            </w:tr>
            <w:tr w14:paraId="354DC3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62" w:type="pct"/>
                  <w:tcBorders>
                    <w:tl2br w:val="nil"/>
                    <w:tr2bl w:val="nil"/>
                  </w:tcBorders>
                  <w:noWrap w:val="0"/>
                  <w:vAlign w:val="center"/>
                </w:tcPr>
                <w:p w14:paraId="3D2B5957">
                  <w:pPr>
                    <w:adjustRightInd w:val="0"/>
                    <w:snapToGrid w:val="0"/>
                    <w:jc w:val="center"/>
                    <w:rPr>
                      <w:color w:val="000000"/>
                      <w:sz w:val="21"/>
                      <w:szCs w:val="21"/>
                      <w:highlight w:val="none"/>
                    </w:rPr>
                  </w:pPr>
                  <w:r>
                    <w:rPr>
                      <w:rFonts w:hint="eastAsia"/>
                      <w:color w:val="000000"/>
                      <w:sz w:val="21"/>
                      <w:szCs w:val="21"/>
                      <w:highlight w:val="none"/>
                    </w:rPr>
                    <w:t>PM</w:t>
                  </w:r>
                  <w:r>
                    <w:rPr>
                      <w:rFonts w:hint="eastAsia"/>
                      <w:color w:val="000000"/>
                      <w:sz w:val="21"/>
                      <w:szCs w:val="21"/>
                      <w:highlight w:val="none"/>
                      <w:vertAlign w:val="subscript"/>
                    </w:rPr>
                    <w:t>10</w:t>
                  </w:r>
                </w:p>
              </w:tc>
              <w:tc>
                <w:tcPr>
                  <w:tcW w:w="1354" w:type="pct"/>
                  <w:tcBorders>
                    <w:tl2br w:val="nil"/>
                    <w:tr2bl w:val="nil"/>
                  </w:tcBorders>
                  <w:noWrap w:val="0"/>
                  <w:vAlign w:val="center"/>
                </w:tcPr>
                <w:p w14:paraId="4763F147">
                  <w:pPr>
                    <w:adjustRightInd w:val="0"/>
                    <w:snapToGrid w:val="0"/>
                    <w:jc w:val="center"/>
                    <w:rPr>
                      <w:color w:val="000000"/>
                      <w:sz w:val="21"/>
                      <w:szCs w:val="21"/>
                      <w:highlight w:val="none"/>
                    </w:rPr>
                  </w:pPr>
                  <w:r>
                    <w:rPr>
                      <w:rFonts w:hint="eastAsia"/>
                      <w:color w:val="000000"/>
                      <w:sz w:val="21"/>
                      <w:szCs w:val="21"/>
                      <w:highlight w:val="none"/>
                    </w:rPr>
                    <w:t>年平均质量浓度</w:t>
                  </w:r>
                </w:p>
              </w:tc>
              <w:tc>
                <w:tcPr>
                  <w:tcW w:w="790" w:type="pct"/>
                  <w:tcBorders>
                    <w:tl2br w:val="nil"/>
                    <w:tr2bl w:val="nil"/>
                  </w:tcBorders>
                  <w:noWrap w:val="0"/>
                  <w:vAlign w:val="center"/>
                </w:tcPr>
                <w:p w14:paraId="167AD5C2">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58</w:t>
                  </w:r>
                </w:p>
              </w:tc>
              <w:tc>
                <w:tcPr>
                  <w:tcW w:w="884" w:type="pct"/>
                  <w:tcBorders>
                    <w:tl2br w:val="nil"/>
                    <w:tr2bl w:val="nil"/>
                  </w:tcBorders>
                  <w:noWrap w:val="0"/>
                  <w:vAlign w:val="center"/>
                </w:tcPr>
                <w:p w14:paraId="1A93BF5C">
                  <w:pPr>
                    <w:adjustRightInd w:val="0"/>
                    <w:snapToGrid w:val="0"/>
                    <w:jc w:val="center"/>
                    <w:rPr>
                      <w:color w:val="000000"/>
                      <w:sz w:val="21"/>
                      <w:szCs w:val="21"/>
                      <w:highlight w:val="none"/>
                    </w:rPr>
                  </w:pPr>
                  <w:r>
                    <w:rPr>
                      <w:rFonts w:hint="eastAsia"/>
                      <w:color w:val="000000"/>
                      <w:sz w:val="21"/>
                      <w:szCs w:val="21"/>
                      <w:highlight w:val="none"/>
                    </w:rPr>
                    <w:t>70</w:t>
                  </w:r>
                </w:p>
              </w:tc>
              <w:tc>
                <w:tcPr>
                  <w:tcW w:w="768" w:type="pct"/>
                  <w:tcBorders>
                    <w:tl2br w:val="nil"/>
                    <w:tr2bl w:val="nil"/>
                  </w:tcBorders>
                  <w:noWrap w:val="0"/>
                  <w:vAlign w:val="center"/>
                </w:tcPr>
                <w:p w14:paraId="217DFF83">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82.86</w:t>
                  </w:r>
                </w:p>
              </w:tc>
              <w:tc>
                <w:tcPr>
                  <w:tcW w:w="639" w:type="pct"/>
                  <w:tcBorders>
                    <w:tl2br w:val="nil"/>
                    <w:tr2bl w:val="nil"/>
                  </w:tcBorders>
                  <w:noWrap w:val="0"/>
                  <w:vAlign w:val="center"/>
                </w:tcPr>
                <w:p w14:paraId="78BEB269">
                  <w:pPr>
                    <w:adjustRightInd w:val="0"/>
                    <w:snapToGrid w:val="0"/>
                    <w:jc w:val="center"/>
                    <w:rPr>
                      <w:color w:val="000000"/>
                      <w:sz w:val="21"/>
                      <w:szCs w:val="21"/>
                      <w:highlight w:val="none"/>
                    </w:rPr>
                  </w:pPr>
                  <w:r>
                    <w:rPr>
                      <w:rFonts w:hint="eastAsia"/>
                      <w:color w:val="000000"/>
                      <w:sz w:val="21"/>
                      <w:szCs w:val="21"/>
                      <w:highlight w:val="none"/>
                    </w:rPr>
                    <w:t>达标</w:t>
                  </w:r>
                </w:p>
              </w:tc>
            </w:tr>
            <w:tr w14:paraId="481B64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7BB606D6">
                  <w:pPr>
                    <w:adjustRightInd w:val="0"/>
                    <w:snapToGrid w:val="0"/>
                    <w:jc w:val="center"/>
                    <w:rPr>
                      <w:color w:val="000000"/>
                      <w:sz w:val="21"/>
                      <w:szCs w:val="21"/>
                      <w:highlight w:val="none"/>
                    </w:rPr>
                  </w:pPr>
                  <w:r>
                    <w:rPr>
                      <w:rFonts w:hint="eastAsia"/>
                      <w:color w:val="000000"/>
                      <w:sz w:val="21"/>
                      <w:szCs w:val="21"/>
                      <w:highlight w:val="none"/>
                    </w:rPr>
                    <w:t>SO</w:t>
                  </w:r>
                  <w:r>
                    <w:rPr>
                      <w:rFonts w:hint="eastAsia"/>
                      <w:color w:val="000000"/>
                      <w:sz w:val="21"/>
                      <w:szCs w:val="21"/>
                      <w:highlight w:val="none"/>
                      <w:vertAlign w:val="subscript"/>
                    </w:rPr>
                    <w:t>2</w:t>
                  </w:r>
                </w:p>
              </w:tc>
              <w:tc>
                <w:tcPr>
                  <w:tcW w:w="1354" w:type="pct"/>
                  <w:tcBorders>
                    <w:tl2br w:val="nil"/>
                    <w:tr2bl w:val="nil"/>
                  </w:tcBorders>
                  <w:noWrap w:val="0"/>
                  <w:vAlign w:val="center"/>
                </w:tcPr>
                <w:p w14:paraId="7635F1D1">
                  <w:pPr>
                    <w:adjustRightInd w:val="0"/>
                    <w:snapToGrid w:val="0"/>
                    <w:jc w:val="center"/>
                    <w:rPr>
                      <w:color w:val="000000"/>
                      <w:sz w:val="21"/>
                      <w:szCs w:val="21"/>
                      <w:highlight w:val="none"/>
                    </w:rPr>
                  </w:pPr>
                  <w:r>
                    <w:rPr>
                      <w:rFonts w:hint="eastAsia"/>
                      <w:color w:val="000000"/>
                      <w:sz w:val="21"/>
                      <w:szCs w:val="21"/>
                      <w:highlight w:val="none"/>
                    </w:rPr>
                    <w:t>年平均质量浓度</w:t>
                  </w:r>
                </w:p>
              </w:tc>
              <w:tc>
                <w:tcPr>
                  <w:tcW w:w="790" w:type="pct"/>
                  <w:tcBorders>
                    <w:tl2br w:val="nil"/>
                    <w:tr2bl w:val="nil"/>
                  </w:tcBorders>
                  <w:noWrap w:val="0"/>
                  <w:vAlign w:val="center"/>
                </w:tcPr>
                <w:p w14:paraId="0EB82B74">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10</w:t>
                  </w:r>
                </w:p>
              </w:tc>
              <w:tc>
                <w:tcPr>
                  <w:tcW w:w="884" w:type="pct"/>
                  <w:tcBorders>
                    <w:tl2br w:val="nil"/>
                    <w:tr2bl w:val="nil"/>
                  </w:tcBorders>
                  <w:noWrap w:val="0"/>
                  <w:vAlign w:val="center"/>
                </w:tcPr>
                <w:p w14:paraId="358EB841">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20</w:t>
                  </w:r>
                </w:p>
              </w:tc>
              <w:tc>
                <w:tcPr>
                  <w:tcW w:w="768" w:type="pct"/>
                  <w:tcBorders>
                    <w:tl2br w:val="nil"/>
                    <w:tr2bl w:val="nil"/>
                  </w:tcBorders>
                  <w:noWrap w:val="0"/>
                  <w:vAlign w:val="center"/>
                </w:tcPr>
                <w:p w14:paraId="279BFA69">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50</w:t>
                  </w:r>
                </w:p>
              </w:tc>
              <w:tc>
                <w:tcPr>
                  <w:tcW w:w="639" w:type="pct"/>
                  <w:tcBorders>
                    <w:tl2br w:val="nil"/>
                    <w:tr2bl w:val="nil"/>
                  </w:tcBorders>
                  <w:noWrap w:val="0"/>
                  <w:vAlign w:val="center"/>
                </w:tcPr>
                <w:p w14:paraId="00D98879">
                  <w:pPr>
                    <w:adjustRightInd w:val="0"/>
                    <w:snapToGrid w:val="0"/>
                    <w:jc w:val="center"/>
                    <w:rPr>
                      <w:color w:val="000000"/>
                      <w:sz w:val="21"/>
                      <w:szCs w:val="21"/>
                      <w:highlight w:val="none"/>
                    </w:rPr>
                  </w:pPr>
                  <w:r>
                    <w:rPr>
                      <w:rFonts w:hint="eastAsia"/>
                      <w:color w:val="000000"/>
                      <w:sz w:val="21"/>
                      <w:szCs w:val="21"/>
                      <w:highlight w:val="none"/>
                    </w:rPr>
                    <w:t>达标</w:t>
                  </w:r>
                </w:p>
              </w:tc>
            </w:tr>
            <w:tr w14:paraId="3ED4D2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00EAEA46">
                  <w:pPr>
                    <w:adjustRightInd w:val="0"/>
                    <w:snapToGrid w:val="0"/>
                    <w:jc w:val="center"/>
                    <w:rPr>
                      <w:color w:val="000000"/>
                      <w:sz w:val="21"/>
                      <w:szCs w:val="21"/>
                      <w:highlight w:val="none"/>
                    </w:rPr>
                  </w:pPr>
                  <w:r>
                    <w:rPr>
                      <w:rFonts w:hint="eastAsia"/>
                      <w:color w:val="000000"/>
                      <w:sz w:val="21"/>
                      <w:szCs w:val="21"/>
                      <w:highlight w:val="none"/>
                    </w:rPr>
                    <w:t>NO</w:t>
                  </w:r>
                  <w:r>
                    <w:rPr>
                      <w:rFonts w:hint="eastAsia"/>
                      <w:color w:val="000000"/>
                      <w:sz w:val="21"/>
                      <w:szCs w:val="21"/>
                      <w:highlight w:val="none"/>
                      <w:vertAlign w:val="subscript"/>
                    </w:rPr>
                    <w:t>2</w:t>
                  </w:r>
                </w:p>
              </w:tc>
              <w:tc>
                <w:tcPr>
                  <w:tcW w:w="1354" w:type="pct"/>
                  <w:tcBorders>
                    <w:tl2br w:val="nil"/>
                    <w:tr2bl w:val="nil"/>
                  </w:tcBorders>
                  <w:noWrap w:val="0"/>
                  <w:vAlign w:val="center"/>
                </w:tcPr>
                <w:p w14:paraId="67B5C624">
                  <w:pPr>
                    <w:adjustRightInd w:val="0"/>
                    <w:snapToGrid w:val="0"/>
                    <w:jc w:val="center"/>
                    <w:rPr>
                      <w:color w:val="000000"/>
                      <w:sz w:val="21"/>
                      <w:szCs w:val="21"/>
                      <w:highlight w:val="none"/>
                    </w:rPr>
                  </w:pPr>
                  <w:r>
                    <w:rPr>
                      <w:rFonts w:hint="eastAsia"/>
                      <w:color w:val="000000"/>
                      <w:sz w:val="21"/>
                      <w:szCs w:val="21"/>
                      <w:highlight w:val="none"/>
                    </w:rPr>
                    <w:t>年平均质量浓度</w:t>
                  </w:r>
                </w:p>
              </w:tc>
              <w:tc>
                <w:tcPr>
                  <w:tcW w:w="790" w:type="pct"/>
                  <w:tcBorders>
                    <w:tl2br w:val="nil"/>
                    <w:tr2bl w:val="nil"/>
                  </w:tcBorders>
                  <w:noWrap w:val="0"/>
                  <w:vAlign w:val="center"/>
                </w:tcPr>
                <w:p w14:paraId="6ED073C8">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28</w:t>
                  </w:r>
                </w:p>
              </w:tc>
              <w:tc>
                <w:tcPr>
                  <w:tcW w:w="884" w:type="pct"/>
                  <w:tcBorders>
                    <w:tl2br w:val="nil"/>
                    <w:tr2bl w:val="nil"/>
                  </w:tcBorders>
                  <w:noWrap w:val="0"/>
                  <w:vAlign w:val="center"/>
                </w:tcPr>
                <w:p w14:paraId="432849B2">
                  <w:pPr>
                    <w:adjustRightInd w:val="0"/>
                    <w:snapToGrid w:val="0"/>
                    <w:jc w:val="center"/>
                    <w:rPr>
                      <w:color w:val="000000"/>
                      <w:sz w:val="21"/>
                      <w:szCs w:val="21"/>
                      <w:highlight w:val="none"/>
                    </w:rPr>
                  </w:pPr>
                  <w:r>
                    <w:rPr>
                      <w:rFonts w:hint="eastAsia"/>
                      <w:color w:val="000000"/>
                      <w:sz w:val="21"/>
                      <w:szCs w:val="21"/>
                      <w:highlight w:val="none"/>
                    </w:rPr>
                    <w:t>40</w:t>
                  </w:r>
                </w:p>
              </w:tc>
              <w:tc>
                <w:tcPr>
                  <w:tcW w:w="768" w:type="pct"/>
                  <w:tcBorders>
                    <w:tl2br w:val="nil"/>
                    <w:tr2bl w:val="nil"/>
                  </w:tcBorders>
                  <w:noWrap w:val="0"/>
                  <w:vAlign w:val="center"/>
                </w:tcPr>
                <w:p w14:paraId="0D67B4B0">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70</w:t>
                  </w:r>
                </w:p>
              </w:tc>
              <w:tc>
                <w:tcPr>
                  <w:tcW w:w="639" w:type="pct"/>
                  <w:tcBorders>
                    <w:tl2br w:val="nil"/>
                    <w:tr2bl w:val="nil"/>
                  </w:tcBorders>
                  <w:noWrap w:val="0"/>
                  <w:vAlign w:val="center"/>
                </w:tcPr>
                <w:p w14:paraId="2E86B9D9">
                  <w:pPr>
                    <w:adjustRightInd w:val="0"/>
                    <w:snapToGrid w:val="0"/>
                    <w:jc w:val="center"/>
                    <w:rPr>
                      <w:color w:val="000000"/>
                      <w:sz w:val="21"/>
                      <w:szCs w:val="21"/>
                      <w:highlight w:val="none"/>
                    </w:rPr>
                  </w:pPr>
                  <w:r>
                    <w:rPr>
                      <w:rFonts w:hint="eastAsia"/>
                      <w:color w:val="000000"/>
                      <w:sz w:val="21"/>
                      <w:szCs w:val="21"/>
                      <w:highlight w:val="none"/>
                    </w:rPr>
                    <w:t>达标</w:t>
                  </w:r>
                </w:p>
              </w:tc>
            </w:tr>
            <w:tr w14:paraId="2BB431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66791660">
                  <w:pPr>
                    <w:adjustRightInd w:val="0"/>
                    <w:snapToGrid w:val="0"/>
                    <w:jc w:val="center"/>
                    <w:rPr>
                      <w:color w:val="000000"/>
                      <w:sz w:val="21"/>
                      <w:szCs w:val="21"/>
                      <w:highlight w:val="none"/>
                    </w:rPr>
                  </w:pPr>
                  <w:r>
                    <w:rPr>
                      <w:rFonts w:hint="eastAsia"/>
                      <w:color w:val="000000"/>
                      <w:sz w:val="21"/>
                      <w:szCs w:val="21"/>
                      <w:highlight w:val="none"/>
                    </w:rPr>
                    <w:t>CO</w:t>
                  </w:r>
                </w:p>
              </w:tc>
              <w:tc>
                <w:tcPr>
                  <w:tcW w:w="1354" w:type="pct"/>
                  <w:tcBorders>
                    <w:tl2br w:val="nil"/>
                    <w:tr2bl w:val="nil"/>
                  </w:tcBorders>
                  <w:noWrap w:val="0"/>
                  <w:vAlign w:val="center"/>
                </w:tcPr>
                <w:p w14:paraId="7810C4EB">
                  <w:pPr>
                    <w:adjustRightInd w:val="0"/>
                    <w:snapToGrid w:val="0"/>
                    <w:jc w:val="center"/>
                    <w:rPr>
                      <w:color w:val="000000"/>
                      <w:sz w:val="21"/>
                      <w:szCs w:val="21"/>
                      <w:highlight w:val="none"/>
                    </w:rPr>
                  </w:pPr>
                  <w:r>
                    <w:rPr>
                      <w:color w:val="000000"/>
                      <w:sz w:val="21"/>
                      <w:szCs w:val="21"/>
                      <w:highlight w:val="none"/>
                    </w:rPr>
                    <w:t>日最大8小时滑动平均值的第90百分位数</w:t>
                  </w:r>
                </w:p>
              </w:tc>
              <w:tc>
                <w:tcPr>
                  <w:tcW w:w="790" w:type="pct"/>
                  <w:tcBorders>
                    <w:tl2br w:val="nil"/>
                    <w:tr2bl w:val="nil"/>
                  </w:tcBorders>
                  <w:noWrap w:val="0"/>
                  <w:vAlign w:val="center"/>
                </w:tcPr>
                <w:p w14:paraId="330E609F">
                  <w:pPr>
                    <w:adjustRightInd w:val="0"/>
                    <w:snapToGrid w:val="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1200</w:t>
                  </w:r>
                </w:p>
              </w:tc>
              <w:tc>
                <w:tcPr>
                  <w:tcW w:w="884" w:type="pct"/>
                  <w:tcBorders>
                    <w:tl2br w:val="nil"/>
                    <w:tr2bl w:val="nil"/>
                  </w:tcBorders>
                  <w:noWrap w:val="0"/>
                  <w:vAlign w:val="center"/>
                </w:tcPr>
                <w:p w14:paraId="46E3909C">
                  <w:pPr>
                    <w:adjustRightInd w:val="0"/>
                    <w:snapToGrid w:val="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4</w:t>
                  </w:r>
                  <w:r>
                    <w:rPr>
                      <w:rFonts w:hint="eastAsia" w:ascii="Times New Roman" w:hAnsi="Times New Roman" w:eastAsia="宋体" w:cs="Times New Roman"/>
                      <w:color w:val="000000"/>
                      <w:sz w:val="21"/>
                      <w:szCs w:val="21"/>
                      <w:highlight w:val="none"/>
                      <w:lang w:val="en-US" w:eastAsia="zh-CN"/>
                    </w:rPr>
                    <w:t>000</w:t>
                  </w:r>
                </w:p>
              </w:tc>
              <w:tc>
                <w:tcPr>
                  <w:tcW w:w="768" w:type="pct"/>
                  <w:tcBorders>
                    <w:tl2br w:val="nil"/>
                    <w:tr2bl w:val="nil"/>
                  </w:tcBorders>
                  <w:noWrap w:val="0"/>
                  <w:vAlign w:val="center"/>
                </w:tcPr>
                <w:p w14:paraId="114B9085">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30</w:t>
                  </w:r>
                </w:p>
              </w:tc>
              <w:tc>
                <w:tcPr>
                  <w:tcW w:w="639" w:type="pct"/>
                  <w:tcBorders>
                    <w:tl2br w:val="nil"/>
                    <w:tr2bl w:val="nil"/>
                  </w:tcBorders>
                  <w:noWrap w:val="0"/>
                  <w:vAlign w:val="center"/>
                </w:tcPr>
                <w:p w14:paraId="7ADA94E8">
                  <w:pPr>
                    <w:adjustRightInd w:val="0"/>
                    <w:snapToGrid w:val="0"/>
                    <w:jc w:val="center"/>
                    <w:rPr>
                      <w:color w:val="000000"/>
                      <w:sz w:val="21"/>
                      <w:szCs w:val="21"/>
                      <w:highlight w:val="none"/>
                    </w:rPr>
                  </w:pPr>
                  <w:r>
                    <w:rPr>
                      <w:rFonts w:hint="eastAsia"/>
                      <w:color w:val="000000"/>
                      <w:sz w:val="21"/>
                      <w:szCs w:val="21"/>
                      <w:highlight w:val="none"/>
                    </w:rPr>
                    <w:t>达标</w:t>
                  </w:r>
                </w:p>
              </w:tc>
            </w:tr>
            <w:tr w14:paraId="774EB1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62" w:type="pct"/>
                  <w:tcBorders>
                    <w:tl2br w:val="nil"/>
                    <w:tr2bl w:val="nil"/>
                  </w:tcBorders>
                  <w:noWrap w:val="0"/>
                  <w:vAlign w:val="center"/>
                </w:tcPr>
                <w:p w14:paraId="04EE4DE3">
                  <w:pPr>
                    <w:adjustRightInd w:val="0"/>
                    <w:snapToGrid w:val="0"/>
                    <w:jc w:val="center"/>
                    <w:rPr>
                      <w:color w:val="000000"/>
                      <w:sz w:val="21"/>
                      <w:szCs w:val="21"/>
                      <w:highlight w:val="none"/>
                    </w:rPr>
                  </w:pPr>
                  <w:r>
                    <w:rPr>
                      <w:rFonts w:hint="eastAsia"/>
                      <w:color w:val="000000"/>
                      <w:sz w:val="21"/>
                      <w:szCs w:val="21"/>
                      <w:highlight w:val="none"/>
                    </w:rPr>
                    <w:t>O</w:t>
                  </w:r>
                  <w:r>
                    <w:rPr>
                      <w:rFonts w:hint="eastAsia"/>
                      <w:color w:val="000000"/>
                      <w:sz w:val="21"/>
                      <w:szCs w:val="21"/>
                      <w:highlight w:val="none"/>
                      <w:vertAlign w:val="subscript"/>
                    </w:rPr>
                    <w:t>3</w:t>
                  </w:r>
                </w:p>
              </w:tc>
              <w:tc>
                <w:tcPr>
                  <w:tcW w:w="1354" w:type="pct"/>
                  <w:tcBorders>
                    <w:tl2br w:val="nil"/>
                    <w:tr2bl w:val="nil"/>
                  </w:tcBorders>
                  <w:noWrap w:val="0"/>
                  <w:vAlign w:val="center"/>
                </w:tcPr>
                <w:p w14:paraId="57955BF0">
                  <w:pPr>
                    <w:adjustRightInd w:val="0"/>
                    <w:snapToGrid w:val="0"/>
                    <w:jc w:val="center"/>
                    <w:rPr>
                      <w:color w:val="000000"/>
                      <w:sz w:val="21"/>
                      <w:szCs w:val="21"/>
                      <w:highlight w:val="none"/>
                    </w:rPr>
                  </w:pPr>
                  <w:r>
                    <w:rPr>
                      <w:rFonts w:ascii="Times New Roman" w:hAnsi="Times New Roman" w:eastAsia="宋体" w:cs="宋体"/>
                      <w:color w:val="000000"/>
                      <w:sz w:val="21"/>
                      <w:szCs w:val="21"/>
                      <w:highlight w:val="none"/>
                    </w:rPr>
                    <w:t>8h平均质量浓度</w:t>
                  </w:r>
                </w:p>
              </w:tc>
              <w:tc>
                <w:tcPr>
                  <w:tcW w:w="790" w:type="pct"/>
                  <w:tcBorders>
                    <w:tl2br w:val="nil"/>
                    <w:tr2bl w:val="nil"/>
                  </w:tcBorders>
                  <w:noWrap w:val="0"/>
                  <w:vAlign w:val="center"/>
                </w:tcPr>
                <w:p w14:paraId="7EA8D4AF">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150</w:t>
                  </w:r>
                </w:p>
              </w:tc>
              <w:tc>
                <w:tcPr>
                  <w:tcW w:w="884" w:type="pct"/>
                  <w:tcBorders>
                    <w:tl2br w:val="nil"/>
                    <w:tr2bl w:val="nil"/>
                  </w:tcBorders>
                  <w:noWrap w:val="0"/>
                  <w:vAlign w:val="center"/>
                </w:tcPr>
                <w:p w14:paraId="73425AE9">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160</w:t>
                  </w:r>
                </w:p>
              </w:tc>
              <w:tc>
                <w:tcPr>
                  <w:tcW w:w="768" w:type="pct"/>
                  <w:tcBorders>
                    <w:tl2br w:val="nil"/>
                    <w:tr2bl w:val="nil"/>
                  </w:tcBorders>
                  <w:noWrap w:val="0"/>
                  <w:vAlign w:val="center"/>
                </w:tcPr>
                <w:p w14:paraId="4881057D">
                  <w:pPr>
                    <w:adjustRightInd w:val="0"/>
                    <w:snapToGrid w:val="0"/>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93.75</w:t>
                  </w:r>
                </w:p>
              </w:tc>
              <w:tc>
                <w:tcPr>
                  <w:tcW w:w="639" w:type="pct"/>
                  <w:tcBorders>
                    <w:tl2br w:val="nil"/>
                    <w:tr2bl w:val="nil"/>
                  </w:tcBorders>
                  <w:noWrap w:val="0"/>
                  <w:vAlign w:val="center"/>
                </w:tcPr>
                <w:p w14:paraId="7472AB96">
                  <w:pPr>
                    <w:adjustRightInd w:val="0"/>
                    <w:snapToGrid w:val="0"/>
                    <w:jc w:val="center"/>
                    <w:rPr>
                      <w:color w:val="000000"/>
                      <w:sz w:val="21"/>
                      <w:szCs w:val="21"/>
                      <w:highlight w:val="none"/>
                    </w:rPr>
                  </w:pPr>
                  <w:r>
                    <w:rPr>
                      <w:rFonts w:hint="eastAsia"/>
                      <w:color w:val="000000"/>
                      <w:sz w:val="21"/>
                      <w:szCs w:val="21"/>
                      <w:highlight w:val="none"/>
                    </w:rPr>
                    <w:t>达标</w:t>
                  </w:r>
                </w:p>
              </w:tc>
            </w:tr>
          </w:tbl>
          <w:p w14:paraId="0CD4573F">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pacing w:val="0"/>
                <w:kern w:val="0"/>
                <w:sz w:val="24"/>
                <w:szCs w:val="24"/>
                <w:lang w:val="en-US" w:eastAsia="zh-CN" w:bidi="ar-SA"/>
              </w:rPr>
            </w:pPr>
            <w:r>
              <w:rPr>
                <w:rFonts w:hint="eastAsia" w:ascii="Times New Roman" w:hAnsi="Times New Roman" w:eastAsia="宋体" w:cs="Times New Roman"/>
                <w:color w:val="auto"/>
                <w:spacing w:val="0"/>
                <w:kern w:val="0"/>
                <w:sz w:val="24"/>
                <w:szCs w:val="24"/>
                <w:lang w:val="en-US" w:eastAsia="zh-CN" w:bidi="ar-SA"/>
              </w:rPr>
              <w:t>根据上述数据可知，建设项目所在区域环境空气质量评价各指标浓度值均满足《环境空气质量标准》（GB3095-2012）及修改单二级标准要求。</w:t>
            </w:r>
          </w:p>
          <w:p w14:paraId="0C75FB98">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color w:val="auto"/>
                <w:spacing w:val="0"/>
                <w:kern w:val="0"/>
                <w:sz w:val="24"/>
                <w:szCs w:val="24"/>
                <w:lang w:val="en-US" w:eastAsia="zh-CN" w:bidi="ar-SA"/>
              </w:rPr>
            </w:pPr>
            <w:r>
              <w:rPr>
                <w:rFonts w:hint="eastAsia" w:ascii="Times New Roman" w:hAnsi="Times New Roman" w:eastAsia="宋体" w:cs="Times New Roman"/>
                <w:color w:val="auto"/>
                <w:spacing w:val="0"/>
                <w:kern w:val="0"/>
                <w:sz w:val="24"/>
                <w:szCs w:val="24"/>
                <w:lang w:val="en-US" w:eastAsia="zh-CN" w:bidi="ar-SA"/>
              </w:rPr>
              <w:t>综上所述，项目区域为环境空气质量达标区。</w:t>
            </w:r>
          </w:p>
          <w:p w14:paraId="18532AB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（2）补充监测污染物环境质量现状</w:t>
            </w:r>
          </w:p>
          <w:p w14:paraId="7C808B2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1</w:t>
            </w:r>
            <w:r>
              <w:rPr>
                <w:rFonts w:hint="eastAsia"/>
                <w:color w:val="auto"/>
                <w:sz w:val="24"/>
                <w:lang w:eastAsia="zh-CN"/>
              </w:rPr>
              <w:t>）</w:t>
            </w:r>
            <w:r>
              <w:rPr>
                <w:color w:val="auto"/>
                <w:sz w:val="24"/>
              </w:rPr>
              <w:t>监测布点</w:t>
            </w:r>
          </w:p>
          <w:p w14:paraId="57F983B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Times New Roman" w:hAnsi="Times New Roman"/>
                <w:color w:val="auto"/>
                <w:szCs w:val="24"/>
                <w:lang w:val="en-US" w:eastAsia="zh-CN"/>
              </w:rPr>
            </w:pPr>
            <w:r>
              <w:rPr>
                <w:rFonts w:hint="eastAsia"/>
                <w:color w:val="auto"/>
                <w:sz w:val="24"/>
              </w:rPr>
              <w:t>本项目特征因子为</w:t>
            </w:r>
            <w:r>
              <w:rPr>
                <w:rFonts w:hint="eastAsia"/>
                <w:color w:val="auto"/>
                <w:sz w:val="24"/>
                <w:lang w:val="en-US" w:eastAsia="zh-CN"/>
              </w:rPr>
              <w:t>非甲烷总烃</w:t>
            </w:r>
            <w:r>
              <w:rPr>
                <w:rFonts w:hint="eastAsia"/>
                <w:color w:val="auto"/>
                <w:sz w:val="24"/>
              </w:rPr>
              <w:t>，</w:t>
            </w:r>
            <w:r>
              <w:rPr>
                <w:rFonts w:hint="eastAsia" w:ascii="Times New Roman" w:hAnsi="Times New Roman"/>
                <w:szCs w:val="24"/>
                <w:lang w:val="en-US" w:eastAsia="zh-CN"/>
              </w:rPr>
              <w:t>数</w:t>
            </w:r>
            <w:r>
              <w:rPr>
                <w:rFonts w:hint="eastAsia" w:ascii="Times New Roman" w:hAnsi="Times New Roman"/>
                <w:color w:val="auto"/>
                <w:szCs w:val="24"/>
                <w:lang w:val="en-US" w:eastAsia="zh-CN"/>
              </w:rPr>
              <w:t>据引用《辽宁威跃集团机械制造有限公司扩建项目》中相关数据</w:t>
            </w:r>
            <w:r>
              <w:rPr>
                <w:rFonts w:hint="eastAsia" w:ascii="Times New Roman" w:hAnsi="Times New Roman"/>
                <w:szCs w:val="24"/>
                <w:lang w:val="en-US" w:eastAsia="zh-CN"/>
              </w:rPr>
              <w:t>。该项目位于本项目西侧约6</w:t>
            </w:r>
            <w:r>
              <w:rPr>
                <w:rFonts w:hint="eastAsia" w:ascii="Times New Roman" w:hAnsi="Times New Roman" w:eastAsia="宋体" w:cs="Times New Roman"/>
                <w:color w:val="auto"/>
                <w:szCs w:val="24"/>
                <w:lang w:val="en-US" w:eastAsia="zh-CN"/>
              </w:rPr>
              <w:t>50米，同属于辽宁省铁岭市调兵山经济开发区南开发区。监测点位位于本项目西侧约760m。</w:t>
            </w:r>
            <w:r>
              <w:rPr>
                <w:rFonts w:hint="eastAsia" w:ascii="Times New Roman" w:hAnsi="Times New Roman"/>
                <w:color w:val="auto"/>
                <w:szCs w:val="24"/>
                <w:lang w:val="en-US" w:eastAsia="zh-CN"/>
              </w:rPr>
              <w:t>监测时间2023年12月12日-2023年12月14日。连续监测3天。环境空气质量现状监测结果如下表。</w:t>
            </w:r>
          </w:p>
          <w:p w14:paraId="54DB57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表3-2  环境空气质量现状监测结果一览表</w:t>
            </w:r>
          </w:p>
          <w:tbl>
            <w:tblPr>
              <w:tblStyle w:val="2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529"/>
              <w:gridCol w:w="1424"/>
              <w:gridCol w:w="962"/>
              <w:gridCol w:w="1988"/>
              <w:gridCol w:w="851"/>
              <w:gridCol w:w="901"/>
            </w:tblGrid>
            <w:tr w14:paraId="1D6C918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vMerge w:val="restart"/>
                  <w:tcBorders>
                    <w:tl2br w:val="nil"/>
                    <w:tr2bl w:val="nil"/>
                  </w:tcBorders>
                  <w:vAlign w:val="center"/>
                </w:tcPr>
                <w:p w14:paraId="3F0DFF6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监测点名称</w:t>
                  </w:r>
                </w:p>
              </w:tc>
              <w:tc>
                <w:tcPr>
                  <w:tcW w:w="1875" w:type="dxa"/>
                  <w:gridSpan w:val="2"/>
                  <w:tcBorders>
                    <w:tl2br w:val="nil"/>
                    <w:tr2bl w:val="nil"/>
                  </w:tcBorders>
                  <w:vAlign w:val="center"/>
                </w:tcPr>
                <w:p w14:paraId="61271B1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监测点坐标</w:t>
                  </w:r>
                </w:p>
              </w:tc>
              <w:tc>
                <w:tcPr>
                  <w:tcW w:w="1012" w:type="dxa"/>
                  <w:vMerge w:val="restart"/>
                  <w:tcBorders>
                    <w:tl2br w:val="nil"/>
                    <w:tr2bl w:val="nil"/>
                  </w:tcBorders>
                  <w:vAlign w:val="center"/>
                </w:tcPr>
                <w:p w14:paraId="168EFA7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监测因子</w:t>
                  </w:r>
                </w:p>
              </w:tc>
              <w:tc>
                <w:tcPr>
                  <w:tcW w:w="2538" w:type="dxa"/>
                  <w:vMerge w:val="restart"/>
                  <w:tcBorders>
                    <w:tl2br w:val="nil"/>
                    <w:tr2bl w:val="nil"/>
                  </w:tcBorders>
                  <w:vAlign w:val="center"/>
                </w:tcPr>
                <w:p w14:paraId="2531C2D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监测时段</w:t>
                  </w:r>
                </w:p>
              </w:tc>
              <w:tc>
                <w:tcPr>
                  <w:tcW w:w="1034" w:type="dxa"/>
                  <w:vMerge w:val="restart"/>
                  <w:tcBorders>
                    <w:tl2br w:val="nil"/>
                    <w:tr2bl w:val="nil"/>
                  </w:tcBorders>
                  <w:vAlign w:val="center"/>
                </w:tcPr>
                <w:p w14:paraId="710183C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相对厂址方位</w:t>
                  </w:r>
                </w:p>
              </w:tc>
              <w:tc>
                <w:tcPr>
                  <w:tcW w:w="1058" w:type="dxa"/>
                  <w:vMerge w:val="restart"/>
                  <w:tcBorders>
                    <w:tl2br w:val="nil"/>
                    <w:tr2bl w:val="nil"/>
                  </w:tcBorders>
                  <w:vAlign w:val="center"/>
                </w:tcPr>
                <w:p w14:paraId="7454705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相对厂界距离/m</w:t>
                  </w:r>
                </w:p>
              </w:tc>
            </w:tr>
            <w:tr w14:paraId="058F27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vMerge w:val="continue"/>
                  <w:tcBorders>
                    <w:tl2br w:val="nil"/>
                    <w:tr2bl w:val="nil"/>
                  </w:tcBorders>
                  <w:vAlign w:val="center"/>
                </w:tcPr>
                <w:p w14:paraId="20BD42F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p>
              </w:tc>
              <w:tc>
                <w:tcPr>
                  <w:tcW w:w="912" w:type="dxa"/>
                  <w:tcBorders>
                    <w:tl2br w:val="nil"/>
                    <w:tr2bl w:val="nil"/>
                  </w:tcBorders>
                  <w:vAlign w:val="center"/>
                </w:tcPr>
                <w:p w14:paraId="7A03B35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X</w:t>
                  </w:r>
                </w:p>
              </w:tc>
              <w:tc>
                <w:tcPr>
                  <w:tcW w:w="963" w:type="dxa"/>
                  <w:tcBorders>
                    <w:tl2br w:val="nil"/>
                    <w:tr2bl w:val="nil"/>
                  </w:tcBorders>
                  <w:vAlign w:val="center"/>
                </w:tcPr>
                <w:p w14:paraId="2532E6B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Y</w:t>
                  </w:r>
                </w:p>
              </w:tc>
              <w:tc>
                <w:tcPr>
                  <w:tcW w:w="1012" w:type="dxa"/>
                  <w:vMerge w:val="continue"/>
                  <w:tcBorders>
                    <w:tl2br w:val="nil"/>
                    <w:tr2bl w:val="nil"/>
                  </w:tcBorders>
                  <w:vAlign w:val="center"/>
                </w:tcPr>
                <w:p w14:paraId="5C030DC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p>
              </w:tc>
              <w:tc>
                <w:tcPr>
                  <w:tcW w:w="2538" w:type="dxa"/>
                  <w:vMerge w:val="continue"/>
                  <w:tcBorders>
                    <w:tl2br w:val="nil"/>
                    <w:tr2bl w:val="nil"/>
                  </w:tcBorders>
                  <w:vAlign w:val="center"/>
                </w:tcPr>
                <w:p w14:paraId="627D7F47">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p>
              </w:tc>
              <w:tc>
                <w:tcPr>
                  <w:tcW w:w="1034" w:type="dxa"/>
                  <w:vMerge w:val="continue"/>
                  <w:tcBorders>
                    <w:tl2br w:val="nil"/>
                    <w:tr2bl w:val="nil"/>
                  </w:tcBorders>
                  <w:vAlign w:val="center"/>
                </w:tcPr>
                <w:p w14:paraId="6F93161A">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p>
              </w:tc>
              <w:tc>
                <w:tcPr>
                  <w:tcW w:w="1058" w:type="dxa"/>
                  <w:vMerge w:val="continue"/>
                  <w:tcBorders>
                    <w:tl2br w:val="nil"/>
                    <w:tr2bl w:val="nil"/>
                  </w:tcBorders>
                  <w:vAlign w:val="center"/>
                </w:tcPr>
                <w:p w14:paraId="782FCF6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p>
              </w:tc>
            </w:tr>
            <w:tr w14:paraId="04F9E2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14:paraId="7633EAC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大气监测点</w:t>
                  </w:r>
                </w:p>
              </w:tc>
              <w:tc>
                <w:tcPr>
                  <w:tcW w:w="912" w:type="dxa"/>
                  <w:tcBorders>
                    <w:tl2br w:val="nil"/>
                    <w:tr2bl w:val="nil"/>
                  </w:tcBorders>
                  <w:vAlign w:val="center"/>
                </w:tcPr>
                <w:p w14:paraId="62724E5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123.539088158</w:t>
                  </w:r>
                </w:p>
              </w:tc>
              <w:tc>
                <w:tcPr>
                  <w:tcW w:w="963" w:type="dxa"/>
                  <w:tcBorders>
                    <w:tl2br w:val="nil"/>
                    <w:tr2bl w:val="nil"/>
                  </w:tcBorders>
                  <w:vAlign w:val="center"/>
                </w:tcPr>
                <w:p w14:paraId="00EEDA0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42.418584192</w:t>
                  </w:r>
                </w:p>
              </w:tc>
              <w:tc>
                <w:tcPr>
                  <w:tcW w:w="1012" w:type="dxa"/>
                  <w:tcBorders>
                    <w:tl2br w:val="nil"/>
                    <w:tr2bl w:val="nil"/>
                  </w:tcBorders>
                  <w:vAlign w:val="center"/>
                </w:tcPr>
                <w:p w14:paraId="5E476F5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NMHC</w:t>
                  </w:r>
                </w:p>
              </w:tc>
              <w:tc>
                <w:tcPr>
                  <w:tcW w:w="2538" w:type="dxa"/>
                  <w:tcBorders>
                    <w:tl2br w:val="nil"/>
                    <w:tr2bl w:val="nil"/>
                  </w:tcBorders>
                  <w:vAlign w:val="center"/>
                </w:tcPr>
                <w:p w14:paraId="3E23B05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时间2023年12月12日-2023年12月14日</w:t>
                  </w:r>
                </w:p>
              </w:tc>
              <w:tc>
                <w:tcPr>
                  <w:tcW w:w="1034" w:type="dxa"/>
                  <w:tcBorders>
                    <w:tl2br w:val="nil"/>
                    <w:tr2bl w:val="nil"/>
                  </w:tcBorders>
                  <w:vAlign w:val="center"/>
                </w:tcPr>
                <w:p w14:paraId="1BD43A9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西</w:t>
                  </w:r>
                </w:p>
              </w:tc>
              <w:tc>
                <w:tcPr>
                  <w:tcW w:w="1058" w:type="dxa"/>
                  <w:tcBorders>
                    <w:tl2br w:val="nil"/>
                    <w:tr2bl w:val="nil"/>
                  </w:tcBorders>
                  <w:vAlign w:val="center"/>
                </w:tcPr>
                <w:p w14:paraId="6344CD2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760</w:t>
                  </w:r>
                </w:p>
              </w:tc>
            </w:tr>
          </w:tbl>
          <w:p w14:paraId="437009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表3-2  环境空气质量现状监测结果一览表</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73"/>
              <w:gridCol w:w="1323"/>
              <w:gridCol w:w="1218"/>
              <w:gridCol w:w="700"/>
              <w:gridCol w:w="849"/>
              <w:gridCol w:w="938"/>
              <w:gridCol w:w="938"/>
              <w:gridCol w:w="800"/>
              <w:gridCol w:w="562"/>
              <w:gridCol w:w="502"/>
            </w:tblGrid>
            <w:tr w14:paraId="23C2D7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8" w:type="pct"/>
                  <w:vMerge w:val="restart"/>
                  <w:tcBorders>
                    <w:tl2br w:val="nil"/>
                    <w:tr2bl w:val="nil"/>
                  </w:tcBorders>
                  <w:noWrap w:val="0"/>
                  <w:vAlign w:val="center"/>
                </w:tcPr>
                <w:p w14:paraId="6A9B0FF7">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监测点位</w:t>
                  </w:r>
                </w:p>
              </w:tc>
              <w:tc>
                <w:tcPr>
                  <w:tcW w:w="974" w:type="pct"/>
                  <w:gridSpan w:val="2"/>
                  <w:tcBorders>
                    <w:tl2br w:val="nil"/>
                    <w:tr2bl w:val="nil"/>
                  </w:tcBorders>
                  <w:noWrap w:val="0"/>
                  <w:vAlign w:val="center"/>
                </w:tcPr>
                <w:p w14:paraId="259FE1F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监测点坐标</w:t>
                  </w:r>
                </w:p>
              </w:tc>
              <w:tc>
                <w:tcPr>
                  <w:tcW w:w="483" w:type="pct"/>
                  <w:vMerge w:val="restart"/>
                  <w:tcBorders>
                    <w:tl2br w:val="nil"/>
                    <w:tr2bl w:val="nil"/>
                  </w:tcBorders>
                  <w:noWrap w:val="0"/>
                  <w:vAlign w:val="center"/>
                </w:tcPr>
                <w:p w14:paraId="3390F26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w:t>
                  </w:r>
                </w:p>
              </w:tc>
              <w:tc>
                <w:tcPr>
                  <w:tcW w:w="572" w:type="pct"/>
                  <w:vMerge w:val="restart"/>
                  <w:tcBorders>
                    <w:tl2br w:val="nil"/>
                    <w:tr2bl w:val="nil"/>
                  </w:tcBorders>
                  <w:noWrap w:val="0"/>
                  <w:vAlign w:val="center"/>
                </w:tcPr>
                <w:p w14:paraId="6D3E6677">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平均时间</w:t>
                  </w:r>
                </w:p>
              </w:tc>
              <w:tc>
                <w:tcPr>
                  <w:tcW w:w="595" w:type="pct"/>
                  <w:vMerge w:val="restart"/>
                  <w:tcBorders>
                    <w:tl2br w:val="nil"/>
                    <w:tr2bl w:val="nil"/>
                  </w:tcBorders>
                  <w:noWrap w:val="0"/>
                  <w:vAlign w:val="center"/>
                </w:tcPr>
                <w:p w14:paraId="7B40AC6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评价标准</w:t>
                  </w:r>
                </w:p>
                <w:p w14:paraId="4C7A1DF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（μg/m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c>
                <w:tcPr>
                  <w:tcW w:w="573" w:type="pct"/>
                  <w:vMerge w:val="restart"/>
                  <w:tcBorders>
                    <w:tl2br w:val="nil"/>
                    <w:tr2bl w:val="nil"/>
                  </w:tcBorders>
                  <w:noWrap w:val="0"/>
                  <w:vAlign w:val="center"/>
                </w:tcPr>
                <w:p w14:paraId="731D71F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监测浓度范围（μg/m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w:t>
                  </w:r>
                </w:p>
              </w:tc>
              <w:tc>
                <w:tcPr>
                  <w:tcW w:w="624" w:type="pct"/>
                  <w:vMerge w:val="restart"/>
                  <w:tcBorders>
                    <w:tl2br w:val="nil"/>
                    <w:tr2bl w:val="nil"/>
                  </w:tcBorders>
                  <w:noWrap w:val="0"/>
                  <w:vAlign w:val="center"/>
                </w:tcPr>
                <w:p w14:paraId="7435E91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最大浓度占标率（%）</w:t>
                  </w:r>
                </w:p>
              </w:tc>
              <w:tc>
                <w:tcPr>
                  <w:tcW w:w="401" w:type="pct"/>
                  <w:vMerge w:val="restart"/>
                  <w:tcBorders>
                    <w:tl2br w:val="nil"/>
                    <w:tr2bl w:val="nil"/>
                  </w:tcBorders>
                  <w:noWrap w:val="0"/>
                  <w:vAlign w:val="center"/>
                </w:tcPr>
                <w:p w14:paraId="56D2055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超标率</w:t>
                  </w:r>
                </w:p>
                <w:p w14:paraId="2109E63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365" w:type="pct"/>
                  <w:vMerge w:val="restart"/>
                  <w:tcBorders>
                    <w:tl2br w:val="nil"/>
                    <w:tr2bl w:val="nil"/>
                  </w:tcBorders>
                  <w:noWrap w:val="0"/>
                  <w:vAlign w:val="center"/>
                </w:tcPr>
                <w:p w14:paraId="5902BDB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达标情况</w:t>
                  </w:r>
                </w:p>
              </w:tc>
            </w:tr>
            <w:tr w14:paraId="45E29D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8" w:type="pct"/>
                  <w:vMerge w:val="continue"/>
                  <w:tcBorders>
                    <w:tl2br w:val="nil"/>
                    <w:tr2bl w:val="nil"/>
                  </w:tcBorders>
                  <w:noWrap w:val="0"/>
                  <w:vAlign w:val="center"/>
                </w:tcPr>
                <w:p w14:paraId="1388247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eastAsia="zh-CN"/>
                    </w:rPr>
                  </w:pPr>
                </w:p>
              </w:tc>
              <w:tc>
                <w:tcPr>
                  <w:tcW w:w="513" w:type="pct"/>
                  <w:tcBorders>
                    <w:tl2br w:val="nil"/>
                    <w:tr2bl w:val="nil"/>
                  </w:tcBorders>
                  <w:noWrap w:val="0"/>
                  <w:vAlign w:val="center"/>
                </w:tcPr>
                <w:p w14:paraId="3F45E46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X</w:t>
                  </w:r>
                </w:p>
              </w:tc>
              <w:tc>
                <w:tcPr>
                  <w:tcW w:w="461" w:type="pct"/>
                  <w:tcBorders>
                    <w:tl2br w:val="nil"/>
                    <w:tr2bl w:val="nil"/>
                  </w:tcBorders>
                  <w:noWrap w:val="0"/>
                  <w:vAlign w:val="center"/>
                </w:tcPr>
                <w:p w14:paraId="7334F63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w:t>
                  </w:r>
                </w:p>
              </w:tc>
              <w:tc>
                <w:tcPr>
                  <w:tcW w:w="483" w:type="pct"/>
                  <w:vMerge w:val="continue"/>
                  <w:tcBorders>
                    <w:tl2br w:val="nil"/>
                    <w:tr2bl w:val="nil"/>
                  </w:tcBorders>
                  <w:noWrap w:val="0"/>
                  <w:vAlign w:val="center"/>
                </w:tcPr>
                <w:p w14:paraId="3621EC3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572" w:type="pct"/>
                  <w:vMerge w:val="continue"/>
                  <w:tcBorders>
                    <w:tl2br w:val="nil"/>
                    <w:tr2bl w:val="nil"/>
                  </w:tcBorders>
                  <w:noWrap w:val="0"/>
                  <w:vAlign w:val="center"/>
                </w:tcPr>
                <w:p w14:paraId="1E43899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595" w:type="pct"/>
                  <w:vMerge w:val="continue"/>
                  <w:tcBorders>
                    <w:tl2br w:val="nil"/>
                    <w:tr2bl w:val="nil"/>
                  </w:tcBorders>
                  <w:noWrap w:val="0"/>
                  <w:vAlign w:val="center"/>
                </w:tcPr>
                <w:p w14:paraId="7C6273E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573" w:type="pct"/>
                  <w:vMerge w:val="continue"/>
                  <w:tcBorders>
                    <w:tl2br w:val="nil"/>
                    <w:tr2bl w:val="nil"/>
                  </w:tcBorders>
                  <w:noWrap w:val="0"/>
                  <w:vAlign w:val="center"/>
                </w:tcPr>
                <w:p w14:paraId="55E21E8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624" w:type="pct"/>
                  <w:vMerge w:val="continue"/>
                  <w:tcBorders>
                    <w:tl2br w:val="nil"/>
                    <w:tr2bl w:val="nil"/>
                  </w:tcBorders>
                  <w:noWrap w:val="0"/>
                  <w:vAlign w:val="center"/>
                </w:tcPr>
                <w:p w14:paraId="6D73207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401" w:type="pct"/>
                  <w:vMerge w:val="continue"/>
                  <w:tcBorders>
                    <w:tl2br w:val="nil"/>
                    <w:tr2bl w:val="nil"/>
                  </w:tcBorders>
                  <w:noWrap w:val="0"/>
                  <w:vAlign w:val="center"/>
                </w:tcPr>
                <w:p w14:paraId="5639D637">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365" w:type="pct"/>
                  <w:vMerge w:val="continue"/>
                  <w:tcBorders>
                    <w:tl2br w:val="nil"/>
                    <w:tr2bl w:val="nil"/>
                  </w:tcBorders>
                  <w:noWrap w:val="0"/>
                  <w:vAlign w:val="center"/>
                </w:tcPr>
                <w:p w14:paraId="693AE95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p>
              </w:tc>
            </w:tr>
            <w:tr w14:paraId="16E31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08" w:type="pct"/>
                  <w:tcBorders>
                    <w:tl2br w:val="nil"/>
                    <w:tr2bl w:val="nil"/>
                  </w:tcBorders>
                  <w:noWrap w:val="0"/>
                  <w:vAlign w:val="center"/>
                </w:tcPr>
                <w:p w14:paraId="0C8183E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大气监测点</w:t>
                  </w:r>
                </w:p>
              </w:tc>
              <w:tc>
                <w:tcPr>
                  <w:tcW w:w="513" w:type="pct"/>
                  <w:tcBorders>
                    <w:tl2br w:val="nil"/>
                    <w:tr2bl w:val="nil"/>
                  </w:tcBorders>
                  <w:noWrap w:val="0"/>
                  <w:vAlign w:val="center"/>
                </w:tcPr>
                <w:p w14:paraId="36A1CD3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123.539088158</w:t>
                  </w:r>
                </w:p>
              </w:tc>
              <w:tc>
                <w:tcPr>
                  <w:tcW w:w="461" w:type="pct"/>
                  <w:tcBorders>
                    <w:tl2br w:val="nil"/>
                    <w:tr2bl w:val="nil"/>
                  </w:tcBorders>
                  <w:noWrap w:val="0"/>
                  <w:vAlign w:val="center"/>
                </w:tcPr>
                <w:p w14:paraId="66A193D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42.418584192</w:t>
                  </w:r>
                </w:p>
              </w:tc>
              <w:tc>
                <w:tcPr>
                  <w:tcW w:w="483" w:type="pct"/>
                  <w:tcBorders>
                    <w:tl2br w:val="nil"/>
                    <w:tr2bl w:val="nil"/>
                  </w:tcBorders>
                  <w:noWrap w:val="0"/>
                  <w:vAlign w:val="center"/>
                </w:tcPr>
                <w:p w14:paraId="4BBBFD4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NMHC</w:t>
                  </w:r>
                </w:p>
              </w:tc>
              <w:tc>
                <w:tcPr>
                  <w:tcW w:w="572" w:type="pct"/>
                  <w:tcBorders>
                    <w:tl2br w:val="nil"/>
                    <w:tr2bl w:val="nil"/>
                  </w:tcBorders>
                  <w:noWrap w:val="0"/>
                  <w:vAlign w:val="center"/>
                </w:tcPr>
                <w:p w14:paraId="5F5307F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小时值</w:t>
                  </w:r>
                </w:p>
              </w:tc>
              <w:tc>
                <w:tcPr>
                  <w:tcW w:w="595" w:type="pct"/>
                  <w:tcBorders>
                    <w:tl2br w:val="nil"/>
                    <w:tr2bl w:val="nil"/>
                  </w:tcBorders>
                  <w:noWrap w:val="0"/>
                  <w:vAlign w:val="center"/>
                </w:tcPr>
                <w:p w14:paraId="009B34E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2000</w:t>
                  </w:r>
                </w:p>
              </w:tc>
              <w:tc>
                <w:tcPr>
                  <w:tcW w:w="573" w:type="pct"/>
                  <w:tcBorders>
                    <w:tl2br w:val="nil"/>
                    <w:tr2bl w:val="nil"/>
                  </w:tcBorders>
                  <w:noWrap w:val="0"/>
                  <w:vAlign w:val="center"/>
                </w:tcPr>
                <w:p w14:paraId="24EEB44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780~930</w:t>
                  </w:r>
                </w:p>
              </w:tc>
              <w:tc>
                <w:tcPr>
                  <w:tcW w:w="624" w:type="pct"/>
                  <w:tcBorders>
                    <w:tl2br w:val="nil"/>
                    <w:tr2bl w:val="nil"/>
                  </w:tcBorders>
                  <w:noWrap w:val="0"/>
                  <w:vAlign w:val="center"/>
                </w:tcPr>
                <w:p w14:paraId="4B4EFE7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46.5</w:t>
                  </w:r>
                </w:p>
              </w:tc>
              <w:tc>
                <w:tcPr>
                  <w:tcW w:w="401" w:type="pct"/>
                  <w:tcBorders>
                    <w:tl2br w:val="nil"/>
                    <w:tr2bl w:val="nil"/>
                  </w:tcBorders>
                  <w:noWrap w:val="0"/>
                  <w:vAlign w:val="center"/>
                </w:tcPr>
                <w:p w14:paraId="0BAE57A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365" w:type="pct"/>
                  <w:tcBorders>
                    <w:tl2br w:val="nil"/>
                    <w:tr2bl w:val="nil"/>
                  </w:tcBorders>
                  <w:noWrap w:val="0"/>
                  <w:vAlign w:val="center"/>
                </w:tcPr>
                <w:p w14:paraId="22A5BEE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14:paraId="7676BC74">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lang w:eastAsia="zh-CN"/>
              </w:rPr>
            </w:pPr>
            <w:r>
              <w:rPr>
                <w:color w:val="auto"/>
                <w:kern w:val="0"/>
                <w:sz w:val="24"/>
              </w:rPr>
              <w:t>根据上表可以看出，非甲烷总烃检测结果满足《大气污染物综合排放标准详解》中</w:t>
            </w:r>
            <w:r>
              <w:rPr>
                <w:rFonts w:hint="eastAsia" w:cs="Times New Roman"/>
                <w:color w:val="auto"/>
                <w:sz w:val="24"/>
                <w:szCs w:val="24"/>
                <w:lang w:val="en-US" w:eastAsia="zh-CN"/>
              </w:rPr>
              <w:t>非甲烷总烃</w:t>
            </w:r>
            <w:r>
              <w:rPr>
                <w:rFonts w:hint="eastAsia" w:ascii="Times New Roman" w:hAnsi="Times New Roman" w:eastAsia="宋体" w:cs="Times New Roman"/>
                <w:color w:val="auto"/>
                <w:sz w:val="24"/>
                <w:szCs w:val="24"/>
                <w:lang w:val="en-US" w:eastAsia="zh-CN"/>
              </w:rPr>
              <w:t>浓度限值</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2.0mg/m</w:t>
            </w:r>
            <w:r>
              <w:rPr>
                <w:rFonts w:hint="eastAsia" w:ascii="Times New Roman" w:hAnsi="Times New Roman" w:eastAsia="宋体" w:cs="Times New Roman"/>
                <w:color w:val="auto"/>
                <w:sz w:val="24"/>
                <w:szCs w:val="24"/>
                <w:vertAlign w:val="superscript"/>
                <w:lang w:val="en-US" w:eastAsia="zh-CN"/>
              </w:rPr>
              <w:t>3</w:t>
            </w:r>
            <w:r>
              <w:rPr>
                <w:rFonts w:hint="eastAsia" w:cs="Times New Roman"/>
                <w:color w:val="auto"/>
                <w:sz w:val="24"/>
                <w:szCs w:val="24"/>
                <w:lang w:val="en-US" w:eastAsia="zh-CN"/>
              </w:rPr>
              <w:t>）</w:t>
            </w:r>
            <w:r>
              <w:rPr>
                <w:rFonts w:hint="eastAsia"/>
                <w:color w:val="auto"/>
                <w:kern w:val="0"/>
                <w:sz w:val="24"/>
                <w:lang w:val="en-US" w:eastAsia="zh-CN"/>
              </w:rPr>
              <w:t>要求。</w:t>
            </w:r>
          </w:p>
          <w:p w14:paraId="72C0C950">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2、地表水环境</w:t>
            </w:r>
          </w:p>
          <w:p w14:paraId="0E86CAD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4" w:firstLineChars="200"/>
              <w:textAlignment w:val="auto"/>
              <w:rPr>
                <w:spacing w:val="-2"/>
                <w:sz w:val="24"/>
                <w:szCs w:val="24"/>
              </w:rPr>
            </w:pPr>
            <w:r>
              <w:rPr>
                <w:spacing w:val="1"/>
                <w:sz w:val="24"/>
                <w:szCs w:val="24"/>
              </w:rPr>
              <w:t>距离本项目最近的地表水为项目</w:t>
            </w:r>
            <w:r>
              <w:rPr>
                <w:rFonts w:hint="eastAsia" w:ascii="Times New Roman" w:hAnsi="Times New Roman" w:eastAsia="宋体" w:cs="Times New Roman"/>
                <w:color w:val="auto"/>
                <w:sz w:val="24"/>
                <w:szCs w:val="24"/>
                <w:lang w:val="en-US" w:eastAsia="zh-CN"/>
              </w:rPr>
              <w:t>南侧约570m的长沟河。</w:t>
            </w:r>
            <w:r>
              <w:rPr>
                <w:spacing w:val="-3"/>
                <w:sz w:val="24"/>
                <w:szCs w:val="24"/>
              </w:rPr>
              <w:t>本项目引用调兵山市环境监测</w:t>
            </w:r>
            <w:r>
              <w:rPr>
                <w:spacing w:val="-1"/>
                <w:sz w:val="24"/>
                <w:szCs w:val="24"/>
              </w:rPr>
              <w:t>站</w:t>
            </w:r>
            <w:r>
              <w:rPr>
                <w:spacing w:val="-55"/>
                <w:sz w:val="24"/>
                <w:szCs w:val="24"/>
              </w:rPr>
              <w:t xml:space="preserve"> </w:t>
            </w:r>
            <w:r>
              <w:rPr>
                <w:rFonts w:ascii="Times New Roman" w:hAnsi="Times New Roman" w:eastAsia="Times New Roman" w:cs="Times New Roman"/>
                <w:spacing w:val="-1"/>
                <w:sz w:val="24"/>
                <w:szCs w:val="24"/>
              </w:rPr>
              <w:t>2023</w:t>
            </w:r>
            <w:r>
              <w:rPr>
                <w:spacing w:val="-1"/>
                <w:sz w:val="24"/>
                <w:szCs w:val="24"/>
              </w:rPr>
              <w:t>年</w:t>
            </w:r>
            <w:r>
              <w:rPr>
                <w:spacing w:val="-57"/>
                <w:sz w:val="24"/>
                <w:szCs w:val="24"/>
              </w:rPr>
              <w:t xml:space="preserve"> </w:t>
            </w:r>
            <w:r>
              <w:rPr>
                <w:rFonts w:ascii="Times New Roman" w:hAnsi="Times New Roman" w:eastAsia="Times New Roman" w:cs="Times New Roman"/>
                <w:spacing w:val="-1"/>
                <w:sz w:val="24"/>
                <w:szCs w:val="24"/>
              </w:rPr>
              <w:t>4</w:t>
            </w:r>
            <w:r>
              <w:rPr>
                <w:spacing w:val="-1"/>
                <w:sz w:val="24"/>
                <w:szCs w:val="24"/>
              </w:rPr>
              <w:t>月对长沟河冯家窝棚断面水质监</w:t>
            </w:r>
            <w:r>
              <w:rPr>
                <w:spacing w:val="-2"/>
                <w:sz w:val="24"/>
                <w:szCs w:val="24"/>
              </w:rPr>
              <w:t>测结果，详见下表</w:t>
            </w:r>
            <w:r>
              <w:rPr>
                <w:spacing w:val="-51"/>
                <w:sz w:val="24"/>
                <w:szCs w:val="24"/>
              </w:rPr>
              <w:t xml:space="preserve"> </w:t>
            </w:r>
            <w:r>
              <w:rPr>
                <w:rFonts w:ascii="Times New Roman" w:hAnsi="Times New Roman" w:eastAsia="Times New Roman" w:cs="Times New Roman"/>
                <w:spacing w:val="-2"/>
                <w:sz w:val="24"/>
                <w:szCs w:val="24"/>
              </w:rPr>
              <w:t>3-4</w:t>
            </w:r>
            <w:r>
              <w:rPr>
                <w:spacing w:val="-2"/>
                <w:sz w:val="24"/>
                <w:szCs w:val="24"/>
              </w:rPr>
              <w:t>。</w:t>
            </w:r>
          </w:p>
          <w:p w14:paraId="56B263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 3-4 2023 年长沟河河水质监测结果表   单位：mg/L</w:t>
            </w:r>
          </w:p>
          <w:p w14:paraId="4AAB6DAF">
            <w:pPr>
              <w:spacing w:line="21" w:lineRule="exact"/>
            </w:pPr>
          </w:p>
          <w:tbl>
            <w:tblPr>
              <w:tblStyle w:val="5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18"/>
              <w:gridCol w:w="1657"/>
              <w:gridCol w:w="1968"/>
              <w:gridCol w:w="1311"/>
              <w:gridCol w:w="1344"/>
            </w:tblGrid>
            <w:tr w14:paraId="2F7EA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60" w:type="pct"/>
                  <w:tcBorders>
                    <w:top w:val="single" w:color="000000" w:sz="10" w:space="0"/>
                    <w:left w:val="nil"/>
                  </w:tcBorders>
                  <w:noWrap w:val="0"/>
                  <w:vAlign w:val="top"/>
                </w:tcPr>
                <w:p w14:paraId="6D43404D">
                  <w:pPr>
                    <w:pStyle w:val="81"/>
                    <w:spacing w:before="57" w:line="228" w:lineRule="auto"/>
                    <w:ind w:left="774"/>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
                      <w:sz w:val="21"/>
                      <w:szCs w:val="21"/>
                    </w:rPr>
                    <w:t>断面</w:t>
                  </w:r>
                </w:p>
              </w:tc>
              <w:tc>
                <w:tcPr>
                  <w:tcW w:w="986" w:type="pct"/>
                  <w:tcBorders>
                    <w:top w:val="single" w:color="000000" w:sz="10" w:space="0"/>
                  </w:tcBorders>
                  <w:noWrap w:val="0"/>
                  <w:vAlign w:val="top"/>
                </w:tcPr>
                <w:p w14:paraId="59B071D8">
                  <w:pPr>
                    <w:pStyle w:val="81"/>
                    <w:spacing w:before="56" w:line="228" w:lineRule="auto"/>
                    <w:ind w:left="23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化学需氧量</w:t>
                  </w:r>
                </w:p>
              </w:tc>
              <w:tc>
                <w:tcPr>
                  <w:tcW w:w="1171" w:type="pct"/>
                  <w:tcBorders>
                    <w:top w:val="single" w:color="000000" w:sz="10" w:space="0"/>
                  </w:tcBorders>
                  <w:noWrap w:val="0"/>
                  <w:vAlign w:val="top"/>
                </w:tcPr>
                <w:p w14:paraId="680D954D">
                  <w:pPr>
                    <w:spacing w:before="96" w:line="192" w:lineRule="auto"/>
                    <w:ind w:left="75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PH</w:t>
                  </w:r>
                </w:p>
              </w:tc>
              <w:tc>
                <w:tcPr>
                  <w:tcW w:w="780" w:type="pct"/>
                  <w:tcBorders>
                    <w:top w:val="single" w:color="000000" w:sz="10" w:space="0"/>
                  </w:tcBorders>
                  <w:noWrap w:val="0"/>
                  <w:vAlign w:val="top"/>
                </w:tcPr>
                <w:p w14:paraId="686174E1">
                  <w:pPr>
                    <w:pStyle w:val="81"/>
                    <w:spacing w:before="56" w:line="228" w:lineRule="auto"/>
                    <w:ind w:left="394"/>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氨氮</w:t>
                  </w:r>
                </w:p>
              </w:tc>
              <w:tc>
                <w:tcPr>
                  <w:tcW w:w="800" w:type="pct"/>
                  <w:tcBorders>
                    <w:top w:val="single" w:color="000000" w:sz="10" w:space="0"/>
                    <w:right w:val="nil"/>
                  </w:tcBorders>
                  <w:noWrap w:val="0"/>
                  <w:vAlign w:val="top"/>
                </w:tcPr>
                <w:p w14:paraId="6136FF7C">
                  <w:pPr>
                    <w:pStyle w:val="81"/>
                    <w:spacing w:before="57" w:line="228" w:lineRule="auto"/>
                    <w:ind w:left="413"/>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总磷</w:t>
                  </w:r>
                </w:p>
              </w:tc>
            </w:tr>
            <w:tr w14:paraId="76B4B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60" w:type="pct"/>
                  <w:tcBorders>
                    <w:left w:val="nil"/>
                  </w:tcBorders>
                  <w:noWrap w:val="0"/>
                  <w:vAlign w:val="top"/>
                </w:tcPr>
                <w:p w14:paraId="02BEE5B3">
                  <w:pPr>
                    <w:pStyle w:val="81"/>
                    <w:spacing w:before="58" w:line="224" w:lineRule="auto"/>
                    <w:ind w:left="55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冯家窝棚</w:t>
                  </w:r>
                </w:p>
              </w:tc>
              <w:tc>
                <w:tcPr>
                  <w:tcW w:w="986" w:type="pct"/>
                  <w:noWrap w:val="0"/>
                  <w:vAlign w:val="top"/>
                </w:tcPr>
                <w:p w14:paraId="0103051C">
                  <w:pPr>
                    <w:spacing w:before="94" w:line="195" w:lineRule="auto"/>
                    <w:ind w:left="574"/>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20.6</w:t>
                  </w:r>
                </w:p>
              </w:tc>
              <w:tc>
                <w:tcPr>
                  <w:tcW w:w="1171" w:type="pct"/>
                  <w:noWrap w:val="0"/>
                  <w:vAlign w:val="top"/>
                </w:tcPr>
                <w:p w14:paraId="21E64C0A">
                  <w:pPr>
                    <w:spacing w:before="94" w:line="195" w:lineRule="auto"/>
                    <w:ind w:left="774"/>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
                      <w:sz w:val="21"/>
                      <w:szCs w:val="21"/>
                    </w:rPr>
                    <w:t>3.0</w:t>
                  </w:r>
                </w:p>
              </w:tc>
              <w:tc>
                <w:tcPr>
                  <w:tcW w:w="780" w:type="pct"/>
                  <w:noWrap w:val="0"/>
                  <w:vAlign w:val="top"/>
                </w:tcPr>
                <w:p w14:paraId="69B67022">
                  <w:pPr>
                    <w:spacing w:before="94" w:line="195" w:lineRule="auto"/>
                    <w:ind w:left="42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0.66</w:t>
                  </w:r>
                </w:p>
              </w:tc>
              <w:tc>
                <w:tcPr>
                  <w:tcW w:w="800" w:type="pct"/>
                  <w:tcBorders>
                    <w:right w:val="nil"/>
                  </w:tcBorders>
                  <w:noWrap w:val="0"/>
                  <w:vAlign w:val="top"/>
                </w:tcPr>
                <w:p w14:paraId="7D13C99B">
                  <w:pPr>
                    <w:spacing w:before="94" w:line="195" w:lineRule="auto"/>
                    <w:ind w:left="437"/>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0.28</w:t>
                  </w:r>
                </w:p>
              </w:tc>
            </w:tr>
            <w:tr w14:paraId="79913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260" w:type="pct"/>
                  <w:tcBorders>
                    <w:left w:val="nil"/>
                  </w:tcBorders>
                  <w:noWrap w:val="0"/>
                  <w:vAlign w:val="top"/>
                </w:tcPr>
                <w:p w14:paraId="29B6C934">
                  <w:pPr>
                    <w:pStyle w:val="81"/>
                    <w:spacing w:before="64" w:line="218" w:lineRule="auto"/>
                    <w:ind w:left="555"/>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标准指数</w:t>
                  </w:r>
                </w:p>
              </w:tc>
              <w:tc>
                <w:tcPr>
                  <w:tcW w:w="986" w:type="pct"/>
                  <w:noWrap w:val="0"/>
                  <w:vAlign w:val="top"/>
                </w:tcPr>
                <w:p w14:paraId="1EBB9D07">
                  <w:pPr>
                    <w:spacing w:before="100" w:line="195" w:lineRule="auto"/>
                    <w:ind w:left="577"/>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0.57</w:t>
                  </w:r>
                </w:p>
              </w:tc>
              <w:tc>
                <w:tcPr>
                  <w:tcW w:w="1171" w:type="pct"/>
                  <w:noWrap w:val="0"/>
                  <w:vAlign w:val="top"/>
                </w:tcPr>
                <w:p w14:paraId="70D56604">
                  <w:pPr>
                    <w:spacing w:before="100" w:line="195" w:lineRule="auto"/>
                    <w:ind w:left="773"/>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
                      <w:sz w:val="21"/>
                      <w:szCs w:val="21"/>
                    </w:rPr>
                    <w:t>0.5</w:t>
                  </w:r>
                </w:p>
              </w:tc>
              <w:tc>
                <w:tcPr>
                  <w:tcW w:w="780" w:type="pct"/>
                  <w:noWrap w:val="0"/>
                  <w:vAlign w:val="top"/>
                </w:tcPr>
                <w:p w14:paraId="1A875FF5">
                  <w:pPr>
                    <w:spacing w:before="100" w:line="195" w:lineRule="auto"/>
                    <w:ind w:left="42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0.44</w:t>
                  </w:r>
                </w:p>
              </w:tc>
              <w:tc>
                <w:tcPr>
                  <w:tcW w:w="800" w:type="pct"/>
                  <w:tcBorders>
                    <w:right w:val="nil"/>
                  </w:tcBorders>
                  <w:noWrap w:val="0"/>
                  <w:vAlign w:val="top"/>
                </w:tcPr>
                <w:p w14:paraId="318D5378">
                  <w:pPr>
                    <w:spacing w:before="100" w:line="195" w:lineRule="auto"/>
                    <w:ind w:left="437"/>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0.93</w:t>
                  </w:r>
                </w:p>
              </w:tc>
            </w:tr>
            <w:tr w14:paraId="0274F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260" w:type="pct"/>
                  <w:tcBorders>
                    <w:left w:val="nil"/>
                    <w:bottom w:val="single" w:color="000000" w:sz="10" w:space="0"/>
                  </w:tcBorders>
                  <w:noWrap w:val="0"/>
                  <w:vAlign w:val="top"/>
                </w:tcPr>
                <w:p w14:paraId="380A9DDC">
                  <w:pPr>
                    <w:pStyle w:val="81"/>
                    <w:spacing w:before="70" w:line="228" w:lineRule="auto"/>
                    <w:ind w:left="44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标准值Ⅳ类</w:t>
                  </w:r>
                </w:p>
              </w:tc>
              <w:tc>
                <w:tcPr>
                  <w:tcW w:w="986" w:type="pct"/>
                  <w:tcBorders>
                    <w:bottom w:val="single" w:color="000000" w:sz="10" w:space="0"/>
                  </w:tcBorders>
                  <w:noWrap w:val="0"/>
                  <w:vAlign w:val="top"/>
                </w:tcPr>
                <w:p w14:paraId="1E994B5A">
                  <w:pPr>
                    <w:spacing w:before="106" w:line="195" w:lineRule="auto"/>
                    <w:ind w:left="596"/>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≤30</w:t>
                  </w:r>
                </w:p>
              </w:tc>
              <w:tc>
                <w:tcPr>
                  <w:tcW w:w="1171" w:type="pct"/>
                  <w:tcBorders>
                    <w:bottom w:val="single" w:color="000000" w:sz="10" w:space="0"/>
                  </w:tcBorders>
                  <w:noWrap w:val="0"/>
                  <w:vAlign w:val="top"/>
                </w:tcPr>
                <w:p w14:paraId="1A19345E">
                  <w:pPr>
                    <w:spacing w:before="106" w:line="195" w:lineRule="auto"/>
                    <w:ind w:left="79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≤6</w:t>
                  </w:r>
                </w:p>
              </w:tc>
              <w:tc>
                <w:tcPr>
                  <w:tcW w:w="780" w:type="pct"/>
                  <w:tcBorders>
                    <w:bottom w:val="single" w:color="000000" w:sz="10" w:space="0"/>
                  </w:tcBorders>
                  <w:noWrap w:val="0"/>
                  <w:vAlign w:val="top"/>
                </w:tcPr>
                <w:p w14:paraId="76E55975">
                  <w:pPr>
                    <w:spacing w:before="106" w:line="195" w:lineRule="auto"/>
                    <w:ind w:left="41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≤1.5</w:t>
                  </w:r>
                </w:p>
              </w:tc>
              <w:tc>
                <w:tcPr>
                  <w:tcW w:w="800" w:type="pct"/>
                  <w:tcBorders>
                    <w:bottom w:val="single" w:color="000000" w:sz="10" w:space="0"/>
                    <w:right w:val="nil"/>
                  </w:tcBorders>
                  <w:noWrap w:val="0"/>
                  <w:vAlign w:val="top"/>
                </w:tcPr>
                <w:p w14:paraId="6D6AF9B0">
                  <w:pPr>
                    <w:spacing w:before="106" w:line="195" w:lineRule="auto"/>
                    <w:ind w:left="427"/>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≤0.3</w:t>
                  </w:r>
                </w:p>
              </w:tc>
            </w:tr>
          </w:tbl>
          <w:p w14:paraId="1D114DB9">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76" w:firstLineChars="200"/>
              <w:textAlignment w:val="auto"/>
              <w:rPr>
                <w:rFonts w:ascii="宋体" w:hAnsi="宋体" w:eastAsia="宋体" w:cs="Times New Roman"/>
                <w:spacing w:val="-1"/>
                <w:kern w:val="0"/>
                <w:sz w:val="24"/>
                <w:szCs w:val="24"/>
                <w:lang w:val="en-US" w:eastAsia="zh-CN" w:bidi="ar-SA"/>
              </w:rPr>
            </w:pPr>
            <w:r>
              <w:rPr>
                <w:rFonts w:ascii="宋体" w:hAnsi="宋体" w:eastAsia="宋体" w:cs="Times New Roman"/>
                <w:spacing w:val="-1"/>
                <w:kern w:val="0"/>
                <w:sz w:val="24"/>
                <w:szCs w:val="24"/>
                <w:lang w:val="en-US" w:eastAsia="zh-CN" w:bidi="ar-SA"/>
              </w:rPr>
              <w:t>根据监测结果，长沟河水质满</w:t>
            </w:r>
            <w:r>
              <w:rPr>
                <w:rFonts w:hint="default" w:ascii="Times New Roman" w:hAnsi="Times New Roman" w:eastAsia="宋体" w:cs="Times New Roman"/>
                <w:spacing w:val="-1"/>
                <w:kern w:val="0"/>
                <w:sz w:val="24"/>
                <w:szCs w:val="24"/>
                <w:lang w:val="en-US" w:eastAsia="zh-CN" w:bidi="ar-SA"/>
              </w:rPr>
              <w:t>足《地表水环境质量标准》（GB3838-2002）Ⅳ类水质标准。</w:t>
            </w:r>
          </w:p>
          <w:p w14:paraId="40A7762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3、声环境</w:t>
            </w:r>
          </w:p>
          <w:p w14:paraId="3D50180C">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textAlignment w:val="auto"/>
              <w:rPr>
                <w:rFonts w:hint="eastAsia" w:ascii="Times New Roman" w:hAnsi="Times New Roman" w:cs="Times New Roman"/>
                <w:color w:val="auto"/>
                <w:sz w:val="24"/>
                <w:szCs w:val="24"/>
                <w:lang w:val="en-US" w:eastAsia="zh-CN"/>
              </w:rPr>
            </w:pPr>
            <w:r>
              <w:rPr>
                <w:rFonts w:hint="eastAsia"/>
                <w:color w:val="auto"/>
                <w:sz w:val="24"/>
                <w:szCs w:val="24"/>
                <w:lang w:eastAsia="zh-CN"/>
              </w:rPr>
              <w:t>项目</w:t>
            </w:r>
            <w:r>
              <w:rPr>
                <w:rFonts w:hint="default" w:ascii="Times New Roman" w:hAnsi="Times New Roman" w:cs="Times New Roman"/>
                <w:color w:val="auto"/>
                <w:kern w:val="0"/>
                <w:sz w:val="24"/>
                <w:lang w:val="en-US" w:eastAsia="zh-CN"/>
              </w:rPr>
              <w:t>北侧为望山村</w:t>
            </w:r>
            <w:r>
              <w:rPr>
                <w:rFonts w:hint="default" w:ascii="Times New Roman" w:hAnsi="Times New Roman" w:cs="Times New Roman"/>
                <w:color w:val="auto"/>
                <w:sz w:val="24"/>
                <w:szCs w:val="24"/>
                <w:lang w:val="en-US" w:eastAsia="zh-CN"/>
              </w:rPr>
              <w:t>，最近民房距厂界1米，根据现场踏勘，</w:t>
            </w:r>
            <w:r>
              <w:rPr>
                <w:rFonts w:hint="eastAsia" w:ascii="Times New Roman" w:hAnsi="Times New Roman" w:cs="Times New Roman"/>
                <w:color w:val="auto"/>
                <w:sz w:val="24"/>
                <w:szCs w:val="24"/>
                <w:lang w:val="en-US" w:eastAsia="zh-CN"/>
              </w:rPr>
              <w:t>1#民房、2#民房为同一户所有，</w:t>
            </w:r>
            <w:r>
              <w:rPr>
                <w:rFonts w:hint="default" w:ascii="Times New Roman" w:hAnsi="Times New Roman" w:cs="Times New Roman"/>
                <w:color w:val="auto"/>
                <w:sz w:val="24"/>
                <w:szCs w:val="24"/>
                <w:lang w:val="en-US" w:eastAsia="zh-CN"/>
              </w:rPr>
              <w:t>民房无人居住，为看护房。</w:t>
            </w:r>
            <w:r>
              <w:rPr>
                <w:rFonts w:hint="eastAsia" w:ascii="Times New Roman" w:hAnsi="Times New Roman" w:cs="Times New Roman"/>
                <w:color w:val="auto"/>
                <w:sz w:val="24"/>
                <w:szCs w:val="24"/>
                <w:lang w:val="en-US" w:eastAsia="zh-CN"/>
              </w:rPr>
              <w:t>3#民房有常住居民，</w:t>
            </w:r>
            <w:r>
              <w:rPr>
                <w:rFonts w:hint="default" w:ascii="Times New Roman" w:hAnsi="Times New Roman" w:cs="Times New Roman"/>
                <w:color w:val="auto"/>
                <w:sz w:val="24"/>
                <w:szCs w:val="24"/>
                <w:lang w:val="en-US" w:eastAsia="zh-CN"/>
              </w:rPr>
              <w:t>距厂界距离为39米。辽宁琅润钢化玻璃有限公司</w:t>
            </w:r>
            <w:r>
              <w:rPr>
                <w:rFonts w:hint="eastAsia" w:ascii="Times New Roman" w:hAnsi="Times New Roman" w:cs="Times New Roman"/>
                <w:color w:val="auto"/>
                <w:sz w:val="24"/>
                <w:szCs w:val="24"/>
                <w:lang w:val="en-US" w:eastAsia="zh-CN"/>
              </w:rPr>
              <w:t>委托沈阳熠境环境检测有限公司于2024年11月12日对本项目厂界及周边居民处进行声环境监测。监测结果见表3-5，监测报告见附件8。</w:t>
            </w:r>
          </w:p>
          <w:p w14:paraId="1B09B9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 3-5  声环境监测结果表   单位：mg/L</w:t>
            </w:r>
          </w:p>
          <w:tbl>
            <w:tblPr>
              <w:tblStyle w:val="2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2094"/>
              <w:gridCol w:w="2094"/>
              <w:gridCol w:w="2094"/>
            </w:tblGrid>
            <w:tr w14:paraId="05E6A4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restart"/>
                  <w:tcBorders>
                    <w:tl2br w:val="nil"/>
                    <w:tr2bl w:val="nil"/>
                  </w:tcBorders>
                  <w:noWrap w:val="0"/>
                  <w:vAlign w:val="center"/>
                </w:tcPr>
                <w:p w14:paraId="7280CB6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采样时间</w:t>
                  </w:r>
                </w:p>
              </w:tc>
              <w:tc>
                <w:tcPr>
                  <w:tcW w:w="2155" w:type="dxa"/>
                  <w:vMerge w:val="restart"/>
                  <w:tcBorders>
                    <w:tl2br w:val="nil"/>
                    <w:tr2bl w:val="nil"/>
                  </w:tcBorders>
                  <w:noWrap w:val="0"/>
                  <w:vAlign w:val="center"/>
                </w:tcPr>
                <w:p w14:paraId="3286645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测点名称</w:t>
                  </w:r>
                </w:p>
              </w:tc>
              <w:tc>
                <w:tcPr>
                  <w:tcW w:w="4310" w:type="dxa"/>
                  <w:gridSpan w:val="2"/>
                  <w:tcBorders>
                    <w:tl2br w:val="nil"/>
                    <w:tr2bl w:val="nil"/>
                  </w:tcBorders>
                  <w:noWrap w:val="0"/>
                  <w:vAlign w:val="center"/>
                </w:tcPr>
                <w:p w14:paraId="5813BF9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检测结果 Lep dB（A）</w:t>
                  </w:r>
                </w:p>
              </w:tc>
            </w:tr>
            <w:tr w14:paraId="35917A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38A2081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vMerge w:val="continue"/>
                  <w:tcBorders>
                    <w:tl2br w:val="nil"/>
                    <w:tr2bl w:val="nil"/>
                  </w:tcBorders>
                  <w:noWrap w:val="0"/>
                  <w:vAlign w:val="center"/>
                </w:tcPr>
                <w:p w14:paraId="174C14E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5ADC380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昼间</w:t>
                  </w:r>
                </w:p>
              </w:tc>
              <w:tc>
                <w:tcPr>
                  <w:tcW w:w="2155" w:type="dxa"/>
                  <w:tcBorders>
                    <w:tl2br w:val="nil"/>
                    <w:tr2bl w:val="nil"/>
                  </w:tcBorders>
                  <w:noWrap w:val="0"/>
                  <w:vAlign w:val="center"/>
                </w:tcPr>
                <w:p w14:paraId="5C3E3C5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夜间</w:t>
                  </w:r>
                </w:p>
              </w:tc>
            </w:tr>
            <w:tr w14:paraId="5D7C67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restart"/>
                  <w:tcBorders>
                    <w:tl2br w:val="nil"/>
                    <w:tr2bl w:val="nil"/>
                  </w:tcBorders>
                  <w:noWrap w:val="0"/>
                  <w:vAlign w:val="center"/>
                </w:tcPr>
                <w:p w14:paraId="4AC833F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2024.11.12</w:t>
                  </w:r>
                </w:p>
              </w:tc>
              <w:tc>
                <w:tcPr>
                  <w:tcW w:w="2155" w:type="dxa"/>
                  <w:tcBorders>
                    <w:tl2br w:val="nil"/>
                    <w:tr2bl w:val="nil"/>
                  </w:tcBorders>
                  <w:noWrap w:val="0"/>
                  <w:vAlign w:val="center"/>
                </w:tcPr>
                <w:p w14:paraId="1F69849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项目厂界东侧1#</w:t>
                  </w:r>
                </w:p>
              </w:tc>
              <w:tc>
                <w:tcPr>
                  <w:tcW w:w="2155" w:type="dxa"/>
                  <w:tcBorders>
                    <w:tl2br w:val="nil"/>
                    <w:tr2bl w:val="nil"/>
                  </w:tcBorders>
                  <w:noWrap w:val="0"/>
                  <w:vAlign w:val="center"/>
                </w:tcPr>
                <w:p w14:paraId="5C42179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53</w:t>
                  </w:r>
                </w:p>
              </w:tc>
              <w:tc>
                <w:tcPr>
                  <w:tcW w:w="2155" w:type="dxa"/>
                  <w:tcBorders>
                    <w:tl2br w:val="nil"/>
                    <w:tr2bl w:val="nil"/>
                  </w:tcBorders>
                  <w:noWrap w:val="0"/>
                  <w:vAlign w:val="center"/>
                </w:tcPr>
                <w:p w14:paraId="203808F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44</w:t>
                  </w:r>
                </w:p>
              </w:tc>
            </w:tr>
            <w:tr w14:paraId="47B46B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4BC5C62A">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4609AF3A">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项目厂界南侧2#</w:t>
                  </w:r>
                </w:p>
              </w:tc>
              <w:tc>
                <w:tcPr>
                  <w:tcW w:w="2155" w:type="dxa"/>
                  <w:tcBorders>
                    <w:tl2br w:val="nil"/>
                    <w:tr2bl w:val="nil"/>
                  </w:tcBorders>
                  <w:noWrap w:val="0"/>
                  <w:vAlign w:val="center"/>
                </w:tcPr>
                <w:p w14:paraId="404DD08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54</w:t>
                  </w:r>
                </w:p>
              </w:tc>
              <w:tc>
                <w:tcPr>
                  <w:tcW w:w="2155" w:type="dxa"/>
                  <w:tcBorders>
                    <w:tl2br w:val="nil"/>
                    <w:tr2bl w:val="nil"/>
                  </w:tcBorders>
                  <w:noWrap w:val="0"/>
                  <w:vAlign w:val="center"/>
                </w:tcPr>
                <w:p w14:paraId="59091DA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43</w:t>
                  </w:r>
                </w:p>
              </w:tc>
            </w:tr>
            <w:tr w14:paraId="33F2FD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1B9352F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76FC25E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项目厂界西侧3#</w:t>
                  </w:r>
                </w:p>
              </w:tc>
              <w:tc>
                <w:tcPr>
                  <w:tcW w:w="2155" w:type="dxa"/>
                  <w:tcBorders>
                    <w:tl2br w:val="nil"/>
                    <w:tr2bl w:val="nil"/>
                  </w:tcBorders>
                  <w:noWrap w:val="0"/>
                  <w:vAlign w:val="center"/>
                </w:tcPr>
                <w:p w14:paraId="5536CC3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52</w:t>
                  </w:r>
                </w:p>
              </w:tc>
              <w:tc>
                <w:tcPr>
                  <w:tcW w:w="2155" w:type="dxa"/>
                  <w:tcBorders>
                    <w:tl2br w:val="nil"/>
                    <w:tr2bl w:val="nil"/>
                  </w:tcBorders>
                  <w:noWrap w:val="0"/>
                  <w:vAlign w:val="center"/>
                </w:tcPr>
                <w:p w14:paraId="3CE349C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43</w:t>
                  </w:r>
                </w:p>
              </w:tc>
            </w:tr>
            <w:tr w14:paraId="1CD7F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1E546F7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48560D6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项目厂界北侧4#</w:t>
                  </w:r>
                </w:p>
              </w:tc>
              <w:tc>
                <w:tcPr>
                  <w:tcW w:w="2155" w:type="dxa"/>
                  <w:tcBorders>
                    <w:tl2br w:val="nil"/>
                    <w:tr2bl w:val="nil"/>
                  </w:tcBorders>
                  <w:noWrap w:val="0"/>
                  <w:vAlign w:val="center"/>
                </w:tcPr>
                <w:p w14:paraId="0C5ECA2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51</w:t>
                  </w:r>
                </w:p>
              </w:tc>
              <w:tc>
                <w:tcPr>
                  <w:tcW w:w="2155" w:type="dxa"/>
                  <w:tcBorders>
                    <w:tl2br w:val="nil"/>
                    <w:tr2bl w:val="nil"/>
                  </w:tcBorders>
                  <w:noWrap w:val="0"/>
                  <w:vAlign w:val="center"/>
                </w:tcPr>
                <w:p w14:paraId="31F73D3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42</w:t>
                  </w:r>
                </w:p>
              </w:tc>
            </w:tr>
            <w:tr w14:paraId="57FD3E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28A76F6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68CB89E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1#民房处</w:t>
                  </w:r>
                </w:p>
              </w:tc>
              <w:tc>
                <w:tcPr>
                  <w:tcW w:w="2155" w:type="dxa"/>
                  <w:tcBorders>
                    <w:tl2br w:val="nil"/>
                    <w:tr2bl w:val="nil"/>
                  </w:tcBorders>
                  <w:noWrap w:val="0"/>
                  <w:vAlign w:val="center"/>
                </w:tcPr>
                <w:p w14:paraId="26288C2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52</w:t>
                  </w:r>
                </w:p>
              </w:tc>
              <w:tc>
                <w:tcPr>
                  <w:tcW w:w="2155" w:type="dxa"/>
                  <w:tcBorders>
                    <w:tl2br w:val="nil"/>
                    <w:tr2bl w:val="nil"/>
                  </w:tcBorders>
                  <w:noWrap w:val="0"/>
                  <w:vAlign w:val="center"/>
                </w:tcPr>
                <w:p w14:paraId="66A0287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42</w:t>
                  </w:r>
                </w:p>
              </w:tc>
            </w:tr>
            <w:tr w14:paraId="4B5F4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2275F24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68CE1F6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2#民房处</w:t>
                  </w:r>
                </w:p>
              </w:tc>
              <w:tc>
                <w:tcPr>
                  <w:tcW w:w="2155" w:type="dxa"/>
                  <w:tcBorders>
                    <w:tl2br w:val="nil"/>
                    <w:tr2bl w:val="nil"/>
                  </w:tcBorders>
                  <w:noWrap w:val="0"/>
                  <w:vAlign w:val="center"/>
                </w:tcPr>
                <w:p w14:paraId="6B4E1FCA">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51</w:t>
                  </w:r>
                </w:p>
              </w:tc>
              <w:tc>
                <w:tcPr>
                  <w:tcW w:w="2155" w:type="dxa"/>
                  <w:tcBorders>
                    <w:tl2br w:val="nil"/>
                    <w:tr2bl w:val="nil"/>
                  </w:tcBorders>
                  <w:noWrap w:val="0"/>
                  <w:vAlign w:val="center"/>
                </w:tcPr>
                <w:p w14:paraId="429ACE1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42</w:t>
                  </w:r>
                </w:p>
              </w:tc>
            </w:tr>
            <w:tr w14:paraId="48E68C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54" w:type="dxa"/>
                  <w:vMerge w:val="continue"/>
                  <w:tcBorders>
                    <w:tl2br w:val="nil"/>
                    <w:tr2bl w:val="nil"/>
                  </w:tcBorders>
                  <w:noWrap w:val="0"/>
                  <w:vAlign w:val="center"/>
                </w:tcPr>
                <w:p w14:paraId="35AEE9E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p>
              </w:tc>
              <w:tc>
                <w:tcPr>
                  <w:tcW w:w="2155" w:type="dxa"/>
                  <w:tcBorders>
                    <w:tl2br w:val="nil"/>
                    <w:tr2bl w:val="nil"/>
                  </w:tcBorders>
                  <w:noWrap w:val="0"/>
                  <w:vAlign w:val="center"/>
                </w:tcPr>
                <w:p w14:paraId="74D27EA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3#民房处</w:t>
                  </w:r>
                </w:p>
              </w:tc>
              <w:tc>
                <w:tcPr>
                  <w:tcW w:w="2155" w:type="dxa"/>
                  <w:tcBorders>
                    <w:tl2br w:val="nil"/>
                    <w:tr2bl w:val="nil"/>
                  </w:tcBorders>
                  <w:noWrap w:val="0"/>
                  <w:vAlign w:val="center"/>
                </w:tcPr>
                <w:p w14:paraId="0DFF498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52</w:t>
                  </w:r>
                </w:p>
              </w:tc>
              <w:tc>
                <w:tcPr>
                  <w:tcW w:w="2155" w:type="dxa"/>
                  <w:tcBorders>
                    <w:tl2br w:val="nil"/>
                    <w:tr2bl w:val="nil"/>
                  </w:tcBorders>
                  <w:noWrap w:val="0"/>
                  <w:vAlign w:val="center"/>
                </w:tcPr>
                <w:p w14:paraId="54424C5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41</w:t>
                  </w:r>
                </w:p>
              </w:tc>
            </w:tr>
          </w:tbl>
          <w:p w14:paraId="4F1CBB47">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由上表监测结果可知，项目所在区域声环境质量符合《声环境质量标准》中3类标准要求。</w:t>
            </w:r>
          </w:p>
          <w:p w14:paraId="18167708">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bidi="ar-SA"/>
              </w:rPr>
              <w:t>4、</w:t>
            </w:r>
            <w:r>
              <w:rPr>
                <w:rFonts w:hint="default" w:ascii="Times New Roman" w:hAnsi="Times New Roman" w:eastAsia="宋体" w:cs="Times New Roman"/>
                <w:color w:val="auto"/>
                <w:sz w:val="24"/>
                <w:szCs w:val="24"/>
                <w:lang w:eastAsia="zh-CN"/>
              </w:rPr>
              <w:t>生态环境</w:t>
            </w:r>
          </w:p>
          <w:p w14:paraId="232638FF">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根据现场勘察，本项目位于</w:t>
            </w:r>
            <w:r>
              <w:rPr>
                <w:rFonts w:hint="eastAsia" w:ascii="Times New Roman" w:hAnsi="Times New Roman" w:cs="Times New Roman"/>
                <w:color w:val="auto"/>
                <w:sz w:val="24"/>
                <w:szCs w:val="24"/>
                <w:lang w:eastAsia="zh-CN"/>
              </w:rPr>
              <w:t>辽宁省铁岭市调兵山经济开发南开发区，租用沈阳新久利管业股份有限公司闲置厂房，</w:t>
            </w:r>
            <w:r>
              <w:rPr>
                <w:rFonts w:hint="eastAsia" w:ascii="Times New Roman" w:hAnsi="Times New Roman" w:cs="Times New Roman"/>
                <w:color w:val="auto"/>
                <w:sz w:val="24"/>
                <w:szCs w:val="24"/>
                <w:lang w:val="en-US" w:eastAsia="zh-CN"/>
              </w:rPr>
              <w:t>用地性质为工业</w:t>
            </w:r>
            <w:r>
              <w:rPr>
                <w:rFonts w:hint="default" w:ascii="Times New Roman" w:hAnsi="Times New Roman" w:eastAsia="宋体" w:cs="Times New Roman"/>
                <w:color w:val="auto"/>
                <w:sz w:val="24"/>
                <w:szCs w:val="24"/>
                <w:lang w:eastAsia="zh-CN"/>
              </w:rPr>
              <w:t>用地，</w:t>
            </w:r>
            <w:r>
              <w:rPr>
                <w:spacing w:val="-4"/>
                <w:sz w:val="24"/>
                <w:szCs w:val="24"/>
              </w:rPr>
              <w:t>无生态环境保护目标</w:t>
            </w:r>
            <w:r>
              <w:rPr>
                <w:rFonts w:hint="eastAsia"/>
                <w:spacing w:val="-4"/>
                <w:sz w:val="24"/>
                <w:szCs w:val="24"/>
                <w:lang w:eastAsia="zh-CN"/>
              </w:rPr>
              <w:t>，</w:t>
            </w:r>
            <w:r>
              <w:rPr>
                <w:rFonts w:hint="default" w:ascii="Times New Roman" w:hAnsi="Times New Roman" w:eastAsia="宋体" w:cs="Times New Roman"/>
                <w:color w:val="auto"/>
                <w:sz w:val="24"/>
                <w:szCs w:val="24"/>
                <w:lang w:eastAsia="zh-CN"/>
              </w:rPr>
              <w:t>无需开展生态现状调查。</w:t>
            </w:r>
          </w:p>
          <w:p w14:paraId="518726E4">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5、电磁辐射</w:t>
            </w:r>
          </w:p>
          <w:p w14:paraId="3773BC7A">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本项目不涉及电磁辐射相关内容。</w:t>
            </w:r>
          </w:p>
          <w:p w14:paraId="60DAEC13">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6、地下水、土壤环境</w:t>
            </w:r>
          </w:p>
          <w:p w14:paraId="39214FBB">
            <w:pPr>
              <w:pStyle w:val="81"/>
              <w:keepNext w:val="0"/>
              <w:keepLines w:val="0"/>
              <w:pageBreakBefore w:val="0"/>
              <w:widowControl w:val="0"/>
              <w:kinsoku/>
              <w:wordWrap/>
              <w:overflowPunct/>
              <w:topLinePunct w:val="0"/>
              <w:autoSpaceDE/>
              <w:autoSpaceDN/>
              <w:bidi w:val="0"/>
              <w:adjustRightInd w:val="0"/>
              <w:snapToGrid w:val="0"/>
              <w:spacing w:line="360" w:lineRule="auto"/>
              <w:ind w:left="0" w:right="0" w:firstLine="482"/>
              <w:jc w:val="both"/>
              <w:textAlignment w:val="auto"/>
              <w:rPr>
                <w:rFonts w:hint="default" w:ascii="Times New Roman" w:hAnsi="Times New Roman" w:eastAsia="宋体" w:cs="Times New Roman"/>
                <w:bCs/>
                <w:color w:val="auto"/>
                <w:kern w:val="2"/>
                <w:sz w:val="24"/>
                <w:szCs w:val="24"/>
                <w:lang w:val="en-US" w:eastAsia="zh-CN"/>
              </w:rPr>
            </w:pPr>
            <w:r>
              <w:rPr>
                <w:spacing w:val="-11"/>
                <w:sz w:val="24"/>
                <w:szCs w:val="24"/>
              </w:rPr>
              <w:t>根据《建设项目环境影响报告表编制技术指南</w:t>
            </w:r>
            <w:r>
              <w:rPr>
                <w:spacing w:val="-12"/>
                <w:sz w:val="24"/>
                <w:szCs w:val="24"/>
              </w:rPr>
              <w:t>（污染影响类）》（试行</w:t>
            </w:r>
            <w:r>
              <w:rPr>
                <w:spacing w:val="-54"/>
                <w:w w:val="85"/>
                <w:sz w:val="24"/>
                <w:szCs w:val="24"/>
              </w:rPr>
              <w:t>），</w:t>
            </w:r>
            <w:r>
              <w:rPr>
                <w:spacing w:val="4"/>
                <w:sz w:val="24"/>
                <w:szCs w:val="24"/>
              </w:rPr>
              <w:t xml:space="preserve"> </w:t>
            </w:r>
            <w:r>
              <w:rPr>
                <w:spacing w:val="-3"/>
                <w:sz w:val="24"/>
                <w:szCs w:val="24"/>
              </w:rPr>
              <w:t>地下水和土壤环境原则上不进行环境质量现状</w:t>
            </w:r>
            <w:r>
              <w:rPr>
                <w:spacing w:val="-4"/>
                <w:sz w:val="24"/>
                <w:szCs w:val="24"/>
              </w:rPr>
              <w:t>调查。本项目厂界外影响范围</w:t>
            </w:r>
            <w:r>
              <w:rPr>
                <w:spacing w:val="-3"/>
                <w:sz w:val="24"/>
                <w:szCs w:val="24"/>
              </w:rPr>
              <w:t>内无地下水环境保护目标，运营期在做好分区</w:t>
            </w:r>
            <w:r>
              <w:rPr>
                <w:spacing w:val="-4"/>
                <w:sz w:val="24"/>
                <w:szCs w:val="24"/>
              </w:rPr>
              <w:t>防渗的基础上，可有效控制地</w:t>
            </w:r>
            <w:r>
              <w:rPr>
                <w:spacing w:val="-3"/>
                <w:sz w:val="24"/>
                <w:szCs w:val="24"/>
              </w:rPr>
              <w:t>下水及土壤环境的污染途径，故本次环评不开</w:t>
            </w:r>
            <w:r>
              <w:rPr>
                <w:spacing w:val="-4"/>
                <w:sz w:val="24"/>
                <w:szCs w:val="24"/>
              </w:rPr>
              <w:t>展地下水及土壤环境质量现状调查。</w:t>
            </w:r>
          </w:p>
        </w:tc>
      </w:tr>
      <w:tr w14:paraId="2F114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77" w:type="dxa"/>
            <w:noWrap w:val="0"/>
            <w:vAlign w:val="center"/>
          </w:tcPr>
          <w:p w14:paraId="4E81D718">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环境</w:t>
            </w:r>
          </w:p>
          <w:p w14:paraId="2A1F83BC">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保护</w:t>
            </w:r>
          </w:p>
          <w:p w14:paraId="35C14471">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目标</w:t>
            </w:r>
          </w:p>
        </w:tc>
        <w:tc>
          <w:tcPr>
            <w:tcW w:w="8622" w:type="dxa"/>
            <w:noWrap w:val="0"/>
            <w:vAlign w:val="center"/>
          </w:tcPr>
          <w:p w14:paraId="26C36F69">
            <w:pPr>
              <w:pStyle w:val="81"/>
              <w:keepNext w:val="0"/>
              <w:keepLines w:val="0"/>
              <w:pageBreakBefore w:val="0"/>
              <w:kinsoku/>
              <w:wordWrap/>
              <w:overflowPunct/>
              <w:topLinePunct w:val="0"/>
              <w:autoSpaceDE/>
              <w:autoSpaceDN/>
              <w:bidi w:val="0"/>
              <w:adjustRightInd w:val="0"/>
              <w:snapToGrid w:val="0"/>
              <w:spacing w:line="360" w:lineRule="auto"/>
              <w:ind w:left="111" w:right="103" w:firstLine="468" w:firstLineChars="200"/>
              <w:jc w:val="both"/>
              <w:textAlignment w:val="auto"/>
              <w:rPr>
                <w:sz w:val="24"/>
                <w:szCs w:val="24"/>
              </w:rPr>
            </w:pPr>
            <w:r>
              <w:rPr>
                <w:spacing w:val="-3"/>
                <w:sz w:val="24"/>
                <w:szCs w:val="24"/>
              </w:rPr>
              <w:t>根据《建设项目环境影响报告表编制技术指南》（污染影响类</w:t>
            </w:r>
            <w:r>
              <w:rPr>
                <w:spacing w:val="-13"/>
                <w:sz w:val="24"/>
                <w:szCs w:val="24"/>
              </w:rPr>
              <w:t>），</w:t>
            </w:r>
            <w:r>
              <w:rPr>
                <w:spacing w:val="-3"/>
                <w:sz w:val="24"/>
                <w:szCs w:val="24"/>
              </w:rPr>
              <w:t>调查</w:t>
            </w:r>
            <w:r>
              <w:rPr>
                <w:spacing w:val="-2"/>
                <w:sz w:val="24"/>
                <w:szCs w:val="24"/>
              </w:rPr>
              <w:t>如下环境保护目标。</w:t>
            </w:r>
          </w:p>
          <w:p w14:paraId="535C0BF2">
            <w:pPr>
              <w:pStyle w:val="81"/>
              <w:keepNext w:val="0"/>
              <w:keepLines w:val="0"/>
              <w:pageBreakBefore w:val="0"/>
              <w:kinsoku/>
              <w:wordWrap/>
              <w:overflowPunct/>
              <w:topLinePunct w:val="0"/>
              <w:autoSpaceDE/>
              <w:autoSpaceDN/>
              <w:bidi w:val="0"/>
              <w:adjustRightInd w:val="0"/>
              <w:snapToGrid w:val="0"/>
              <w:spacing w:line="360" w:lineRule="auto"/>
              <w:ind w:left="594" w:firstLine="0" w:firstLineChars="0"/>
              <w:jc w:val="both"/>
              <w:textAlignment w:val="auto"/>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33"/>
                <w:sz w:val="24"/>
                <w:szCs w:val="24"/>
              </w:rPr>
              <w:t xml:space="preserve"> </w:t>
            </w:r>
            <w:r>
              <w:rPr>
                <w:b/>
                <w:bCs/>
                <w:spacing w:val="-6"/>
                <w:sz w:val="24"/>
                <w:szCs w:val="24"/>
              </w:rPr>
              <w:t>、大气环境保护目标</w:t>
            </w:r>
          </w:p>
          <w:p w14:paraId="32FEEC80">
            <w:pPr>
              <w:pStyle w:val="81"/>
              <w:keepNext w:val="0"/>
              <w:keepLines w:val="0"/>
              <w:pageBreakBefore w:val="0"/>
              <w:kinsoku/>
              <w:wordWrap/>
              <w:overflowPunct/>
              <w:topLinePunct w:val="0"/>
              <w:autoSpaceDE/>
              <w:autoSpaceDN/>
              <w:bidi w:val="0"/>
              <w:adjustRightInd w:val="0"/>
              <w:snapToGrid w:val="0"/>
              <w:spacing w:line="360" w:lineRule="auto"/>
              <w:ind w:left="111" w:firstLine="464" w:firstLineChars="200"/>
              <w:jc w:val="both"/>
              <w:textAlignment w:val="auto"/>
              <w:rPr>
                <w:sz w:val="24"/>
                <w:szCs w:val="24"/>
              </w:rPr>
            </w:pPr>
            <w:r>
              <w:rPr>
                <w:spacing w:val="-4"/>
                <w:sz w:val="24"/>
                <w:szCs w:val="24"/>
              </w:rPr>
              <w:t>经现场踏勘及资料调查，项目厂界外</w:t>
            </w:r>
            <w:r>
              <w:rPr>
                <w:spacing w:val="-42"/>
                <w:sz w:val="24"/>
                <w:szCs w:val="24"/>
              </w:rPr>
              <w:t xml:space="preserve"> </w:t>
            </w:r>
            <w:r>
              <w:rPr>
                <w:rFonts w:ascii="Times New Roman" w:hAnsi="Times New Roman" w:eastAsia="Times New Roman" w:cs="Times New Roman"/>
                <w:spacing w:val="-4"/>
                <w:sz w:val="24"/>
                <w:szCs w:val="24"/>
              </w:rPr>
              <w:t xml:space="preserve">500 </w:t>
            </w:r>
            <w:r>
              <w:rPr>
                <w:spacing w:val="-4"/>
                <w:sz w:val="24"/>
                <w:szCs w:val="24"/>
              </w:rPr>
              <w:t>米范围内无自然保护区、风景</w:t>
            </w:r>
            <w:r>
              <w:rPr>
                <w:spacing w:val="-1"/>
                <w:sz w:val="24"/>
                <w:szCs w:val="24"/>
              </w:rPr>
              <w:t>名胜区，大气环境保护目标</w:t>
            </w:r>
            <w:r>
              <w:rPr>
                <w:rFonts w:hint="eastAsia"/>
                <w:spacing w:val="-1"/>
                <w:sz w:val="24"/>
                <w:szCs w:val="24"/>
                <w:lang w:eastAsia="zh-CN"/>
              </w:rPr>
              <w:t>为项目北侧望山村居民</w:t>
            </w:r>
            <w:r>
              <w:rPr>
                <w:spacing w:val="-1"/>
                <w:sz w:val="24"/>
                <w:szCs w:val="24"/>
              </w:rPr>
              <w:t>。</w:t>
            </w:r>
          </w:p>
          <w:p w14:paraId="720B770E">
            <w:pPr>
              <w:pStyle w:val="81"/>
              <w:keepNext w:val="0"/>
              <w:keepLines w:val="0"/>
              <w:pageBreakBefore w:val="0"/>
              <w:kinsoku/>
              <w:wordWrap/>
              <w:overflowPunct/>
              <w:topLinePunct w:val="0"/>
              <w:autoSpaceDE/>
              <w:autoSpaceDN/>
              <w:bidi w:val="0"/>
              <w:adjustRightInd w:val="0"/>
              <w:snapToGrid w:val="0"/>
              <w:spacing w:line="360" w:lineRule="auto"/>
              <w:ind w:left="584" w:firstLine="0" w:firstLineChars="0"/>
              <w:jc w:val="both"/>
              <w:textAlignment w:val="auto"/>
              <w:rPr>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34"/>
                <w:sz w:val="24"/>
                <w:szCs w:val="24"/>
              </w:rPr>
              <w:t xml:space="preserve"> </w:t>
            </w:r>
            <w:r>
              <w:rPr>
                <w:b/>
                <w:bCs/>
                <w:spacing w:val="-5"/>
                <w:sz w:val="24"/>
                <w:szCs w:val="24"/>
              </w:rPr>
              <w:t>、声环境保护目标</w:t>
            </w:r>
          </w:p>
          <w:p w14:paraId="24B26FB1">
            <w:pPr>
              <w:pStyle w:val="81"/>
              <w:keepNext w:val="0"/>
              <w:keepLines w:val="0"/>
              <w:pageBreakBefore w:val="0"/>
              <w:kinsoku/>
              <w:wordWrap/>
              <w:overflowPunct/>
              <w:topLinePunct w:val="0"/>
              <w:autoSpaceDE/>
              <w:autoSpaceDN/>
              <w:bidi w:val="0"/>
              <w:adjustRightInd w:val="0"/>
              <w:snapToGrid w:val="0"/>
              <w:spacing w:line="360" w:lineRule="auto"/>
              <w:ind w:left="109" w:right="122" w:firstLine="476" w:firstLineChars="200"/>
              <w:jc w:val="both"/>
              <w:textAlignment w:val="auto"/>
              <w:rPr>
                <w:rFonts w:hint="eastAsia" w:eastAsia="宋体"/>
                <w:sz w:val="24"/>
                <w:szCs w:val="24"/>
                <w:lang w:eastAsia="zh-CN"/>
              </w:rPr>
            </w:pPr>
            <w:r>
              <w:rPr>
                <w:spacing w:val="-1"/>
                <w:sz w:val="24"/>
                <w:szCs w:val="24"/>
              </w:rPr>
              <w:t>经现场踏勘及资料调查，项目厂界外</w:t>
            </w:r>
            <w:r>
              <w:rPr>
                <w:spacing w:val="-41"/>
                <w:sz w:val="24"/>
                <w:szCs w:val="24"/>
              </w:rPr>
              <w:t xml:space="preserve"> </w:t>
            </w:r>
            <w:r>
              <w:rPr>
                <w:rFonts w:ascii="Times New Roman" w:hAnsi="Times New Roman" w:eastAsia="Times New Roman" w:cs="Times New Roman"/>
                <w:spacing w:val="-1"/>
                <w:sz w:val="24"/>
                <w:szCs w:val="24"/>
              </w:rPr>
              <w:t xml:space="preserve">50 </w:t>
            </w:r>
            <w:r>
              <w:rPr>
                <w:spacing w:val="-1"/>
                <w:sz w:val="24"/>
                <w:szCs w:val="24"/>
              </w:rPr>
              <w:t>米范围内声环境</w:t>
            </w:r>
            <w:r>
              <w:rPr>
                <w:spacing w:val="-3"/>
                <w:sz w:val="24"/>
                <w:szCs w:val="24"/>
              </w:rPr>
              <w:t>保护目标</w:t>
            </w:r>
            <w:r>
              <w:rPr>
                <w:rFonts w:hint="eastAsia"/>
                <w:spacing w:val="-3"/>
                <w:sz w:val="24"/>
                <w:szCs w:val="24"/>
                <w:lang w:eastAsia="zh-CN"/>
              </w:rPr>
              <w:t>为</w:t>
            </w:r>
            <w:r>
              <w:rPr>
                <w:rFonts w:hint="eastAsia"/>
                <w:spacing w:val="-1"/>
                <w:sz w:val="24"/>
                <w:szCs w:val="24"/>
                <w:lang w:eastAsia="zh-CN"/>
              </w:rPr>
              <w:t>望山村居民</w:t>
            </w:r>
            <w:r>
              <w:rPr>
                <w:spacing w:val="-1"/>
                <w:sz w:val="24"/>
                <w:szCs w:val="24"/>
              </w:rPr>
              <w:t>。</w:t>
            </w:r>
          </w:p>
          <w:p w14:paraId="63A6BD7E">
            <w:pPr>
              <w:pStyle w:val="81"/>
              <w:keepNext w:val="0"/>
              <w:keepLines w:val="0"/>
              <w:pageBreakBefore w:val="0"/>
              <w:kinsoku/>
              <w:wordWrap/>
              <w:overflowPunct/>
              <w:topLinePunct w:val="0"/>
              <w:autoSpaceDE/>
              <w:autoSpaceDN/>
              <w:bidi w:val="0"/>
              <w:adjustRightInd w:val="0"/>
              <w:snapToGrid w:val="0"/>
              <w:spacing w:line="360" w:lineRule="auto"/>
              <w:ind w:left="582" w:firstLine="0" w:firstLineChars="0"/>
              <w:jc w:val="both"/>
              <w:textAlignment w:val="auto"/>
              <w:rPr>
                <w:sz w:val="24"/>
                <w:szCs w:val="24"/>
              </w:rPr>
            </w:pPr>
            <w:r>
              <w:rPr>
                <w:rFonts w:ascii="Times New Roman" w:hAnsi="Times New Roman" w:eastAsia="Times New Roman" w:cs="Times New Roman"/>
                <w:b/>
                <w:bCs/>
                <w:spacing w:val="-5"/>
                <w:sz w:val="24"/>
                <w:szCs w:val="24"/>
              </w:rPr>
              <w:t>3</w:t>
            </w:r>
            <w:r>
              <w:rPr>
                <w:rFonts w:ascii="Times New Roman" w:hAnsi="Times New Roman" w:eastAsia="Times New Roman" w:cs="Times New Roman"/>
                <w:b/>
                <w:bCs/>
                <w:spacing w:val="-26"/>
                <w:sz w:val="24"/>
                <w:szCs w:val="24"/>
              </w:rPr>
              <w:t xml:space="preserve"> </w:t>
            </w:r>
            <w:r>
              <w:rPr>
                <w:b/>
                <w:bCs/>
                <w:spacing w:val="-5"/>
                <w:sz w:val="24"/>
                <w:szCs w:val="24"/>
              </w:rPr>
              <w:t>、地下水环境保护目标</w:t>
            </w:r>
          </w:p>
          <w:p w14:paraId="0532A0B9">
            <w:pPr>
              <w:pStyle w:val="81"/>
              <w:keepNext w:val="0"/>
              <w:keepLines w:val="0"/>
              <w:pageBreakBefore w:val="0"/>
              <w:kinsoku/>
              <w:wordWrap/>
              <w:overflowPunct/>
              <w:topLinePunct w:val="0"/>
              <w:autoSpaceDE/>
              <w:autoSpaceDN/>
              <w:bidi w:val="0"/>
              <w:adjustRightInd w:val="0"/>
              <w:snapToGrid w:val="0"/>
              <w:spacing w:line="360" w:lineRule="auto"/>
              <w:ind w:left="111" w:right="103" w:firstLine="468" w:firstLineChars="200"/>
              <w:jc w:val="both"/>
              <w:textAlignment w:val="auto"/>
              <w:rPr>
                <w:sz w:val="24"/>
                <w:szCs w:val="24"/>
              </w:rPr>
            </w:pPr>
            <w:r>
              <w:rPr>
                <w:spacing w:val="-3"/>
                <w:sz w:val="24"/>
                <w:szCs w:val="24"/>
              </w:rPr>
              <w:t>经现场踏勘及资料调查，项目厂界外</w:t>
            </w:r>
            <w:r>
              <w:rPr>
                <w:spacing w:val="-40"/>
                <w:sz w:val="24"/>
                <w:szCs w:val="24"/>
              </w:rPr>
              <w:t xml:space="preserve"> </w:t>
            </w:r>
            <w:r>
              <w:rPr>
                <w:rFonts w:ascii="Times New Roman" w:hAnsi="Times New Roman" w:eastAsia="Times New Roman" w:cs="Times New Roman"/>
                <w:spacing w:val="-3"/>
                <w:sz w:val="24"/>
                <w:szCs w:val="24"/>
              </w:rPr>
              <w:t>500m</w:t>
            </w:r>
            <w:r>
              <w:rPr>
                <w:spacing w:val="-3"/>
                <w:sz w:val="24"/>
                <w:szCs w:val="24"/>
              </w:rPr>
              <w:t>范围内无地下水集中式饮用</w:t>
            </w:r>
            <w:r>
              <w:rPr>
                <w:spacing w:val="-1"/>
                <w:sz w:val="24"/>
                <w:szCs w:val="24"/>
              </w:rPr>
              <w:t>水水源和热水、矿泉水、温泉等地下水资源保护目标。</w:t>
            </w:r>
          </w:p>
          <w:p w14:paraId="21FB8A59">
            <w:pPr>
              <w:pStyle w:val="81"/>
              <w:keepNext w:val="0"/>
              <w:keepLines w:val="0"/>
              <w:pageBreakBefore w:val="0"/>
              <w:kinsoku/>
              <w:wordWrap/>
              <w:overflowPunct/>
              <w:topLinePunct w:val="0"/>
              <w:autoSpaceDE/>
              <w:autoSpaceDN/>
              <w:bidi w:val="0"/>
              <w:adjustRightInd w:val="0"/>
              <w:snapToGrid w:val="0"/>
              <w:spacing w:line="360" w:lineRule="auto"/>
              <w:ind w:left="584" w:firstLine="0" w:firstLineChars="0"/>
              <w:jc w:val="both"/>
              <w:textAlignment w:val="auto"/>
              <w:rPr>
                <w:sz w:val="24"/>
                <w:szCs w:val="24"/>
              </w:rPr>
            </w:pPr>
            <w:r>
              <w:rPr>
                <w:rFonts w:ascii="Times New Roman" w:hAnsi="Times New Roman" w:eastAsia="Times New Roman" w:cs="Times New Roman"/>
                <w:b/>
                <w:bCs/>
                <w:spacing w:val="-5"/>
                <w:sz w:val="24"/>
                <w:szCs w:val="24"/>
              </w:rPr>
              <w:t>4</w:t>
            </w:r>
            <w:r>
              <w:rPr>
                <w:rFonts w:ascii="Times New Roman" w:hAnsi="Times New Roman" w:eastAsia="Times New Roman" w:cs="Times New Roman"/>
                <w:b/>
                <w:bCs/>
                <w:spacing w:val="-33"/>
                <w:sz w:val="24"/>
                <w:szCs w:val="24"/>
              </w:rPr>
              <w:t xml:space="preserve"> </w:t>
            </w:r>
            <w:r>
              <w:rPr>
                <w:b/>
                <w:bCs/>
                <w:spacing w:val="-5"/>
                <w:sz w:val="24"/>
                <w:szCs w:val="24"/>
              </w:rPr>
              <w:t>、生态环境保护目标</w:t>
            </w:r>
          </w:p>
          <w:p w14:paraId="1C84160C">
            <w:pPr>
              <w:pStyle w:val="81"/>
              <w:keepNext w:val="0"/>
              <w:keepLines w:val="0"/>
              <w:pageBreakBefore w:val="0"/>
              <w:kinsoku/>
              <w:wordWrap/>
              <w:overflowPunct/>
              <w:topLinePunct w:val="0"/>
              <w:autoSpaceDE/>
              <w:autoSpaceDN/>
              <w:bidi w:val="0"/>
              <w:adjustRightInd w:val="0"/>
              <w:snapToGrid w:val="0"/>
              <w:spacing w:line="360" w:lineRule="auto"/>
              <w:ind w:left="129" w:right="103" w:firstLine="464" w:firstLineChars="200"/>
              <w:jc w:val="both"/>
              <w:textAlignment w:val="auto"/>
              <w:rPr>
                <w:sz w:val="24"/>
                <w:szCs w:val="24"/>
                <w:highlight w:val="none"/>
              </w:rPr>
            </w:pPr>
            <w:r>
              <w:rPr>
                <w:spacing w:val="-4"/>
                <w:sz w:val="24"/>
                <w:szCs w:val="24"/>
              </w:rPr>
              <w:t>经现场踏勘及资料调查，本项目</w:t>
            </w:r>
            <w:r>
              <w:rPr>
                <w:rFonts w:hint="eastAsia"/>
                <w:spacing w:val="-4"/>
                <w:sz w:val="24"/>
                <w:szCs w:val="24"/>
                <w:lang w:eastAsia="zh-CN"/>
              </w:rPr>
              <w:t>租赁闲置厂房</w:t>
            </w:r>
            <w:r>
              <w:rPr>
                <w:spacing w:val="-4"/>
                <w:sz w:val="24"/>
                <w:szCs w:val="24"/>
              </w:rPr>
              <w:t>，</w:t>
            </w:r>
            <w:r>
              <w:rPr>
                <w:rFonts w:hint="eastAsia"/>
                <w:spacing w:val="-4"/>
                <w:sz w:val="24"/>
                <w:szCs w:val="24"/>
                <w:lang w:eastAsia="zh-CN"/>
              </w:rPr>
              <w:t>用地性质为工业用地</w:t>
            </w:r>
            <w:r>
              <w:rPr>
                <w:spacing w:val="-4"/>
                <w:sz w:val="24"/>
                <w:szCs w:val="24"/>
              </w:rPr>
              <w:t>且用地范</w:t>
            </w:r>
            <w:r>
              <w:rPr>
                <w:spacing w:val="-2"/>
                <w:sz w:val="24"/>
                <w:szCs w:val="24"/>
              </w:rPr>
              <w:t>围内无生态环境保护目标，不设生态环境保护目</w:t>
            </w:r>
            <w:r>
              <w:rPr>
                <w:spacing w:val="-2"/>
                <w:sz w:val="24"/>
                <w:szCs w:val="24"/>
                <w:highlight w:val="none"/>
              </w:rPr>
              <w:t>标。</w:t>
            </w:r>
          </w:p>
          <w:p w14:paraId="53DF9C6B">
            <w:pPr>
              <w:keepNext w:val="0"/>
              <w:keepLines w:val="0"/>
              <w:widowControl/>
              <w:suppressLineNumbers w:val="0"/>
              <w:ind w:firstLine="480" w:firstLineChars="200"/>
              <w:jc w:val="left"/>
              <w:rPr>
                <w:highlight w:val="none"/>
              </w:rPr>
            </w:pPr>
            <w:r>
              <w:rPr>
                <w:rFonts w:hint="eastAsia" w:ascii="宋体" w:hAnsi="宋体" w:eastAsia="宋体" w:cs="宋体"/>
                <w:color w:val="000000"/>
                <w:kern w:val="0"/>
                <w:sz w:val="24"/>
                <w:szCs w:val="24"/>
                <w:highlight w:val="none"/>
                <w:lang w:val="en-US" w:eastAsia="zh-CN" w:bidi="ar"/>
              </w:rPr>
              <w:t xml:space="preserve">综上所述，项目环境保护目标见表 </w:t>
            </w:r>
            <w:r>
              <w:rPr>
                <w:rFonts w:hint="default" w:ascii="Times New Roman" w:hAnsi="Times New Roman" w:eastAsia="宋体" w:cs="Times New Roman"/>
                <w:color w:val="000000"/>
                <w:kern w:val="0"/>
                <w:sz w:val="24"/>
                <w:szCs w:val="24"/>
                <w:highlight w:val="none"/>
                <w:lang w:val="en-US" w:eastAsia="zh-CN" w:bidi="ar"/>
              </w:rPr>
              <w:t xml:space="preserve">3- 12 </w:t>
            </w:r>
            <w:r>
              <w:rPr>
                <w:rFonts w:hint="eastAsia" w:ascii="宋体" w:hAnsi="宋体" w:cs="宋体"/>
                <w:color w:val="000000"/>
                <w:kern w:val="0"/>
                <w:sz w:val="24"/>
                <w:szCs w:val="24"/>
                <w:highlight w:val="none"/>
                <w:lang w:val="en-US" w:eastAsia="zh-CN" w:bidi="ar"/>
              </w:rPr>
              <w:t>及</w:t>
            </w:r>
            <w:r>
              <w:rPr>
                <w:rFonts w:hint="eastAsia" w:ascii="宋体" w:hAnsi="宋体" w:eastAsia="宋体" w:cs="宋体"/>
                <w:color w:val="000000"/>
                <w:kern w:val="0"/>
                <w:sz w:val="24"/>
                <w:szCs w:val="24"/>
                <w:highlight w:val="none"/>
                <w:lang w:val="en-US" w:eastAsia="zh-CN" w:bidi="ar"/>
              </w:rPr>
              <w:t xml:space="preserve">附图 </w:t>
            </w:r>
            <w:r>
              <w:rPr>
                <w:rFonts w:hint="eastAsia" w:cs="Times New Roman"/>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 xml:space="preserve">。 </w:t>
            </w:r>
          </w:p>
          <w:p w14:paraId="0713AA4A">
            <w:pPr>
              <w:keepNext w:val="0"/>
              <w:keepLines w:val="0"/>
              <w:widowControl/>
              <w:suppressLineNumbers w:val="0"/>
              <w:jc w:val="center"/>
              <w:rPr>
                <w:rFonts w:hint="eastAsia" w:ascii="Times New Roman" w:hAnsi="Times New Roman" w:eastAsia="宋体" w:cs="Times New Roman"/>
                <w:b/>
                <w:bCs/>
                <w:color w:val="000000"/>
                <w:kern w:val="0"/>
                <w:sz w:val="19"/>
                <w:szCs w:val="19"/>
                <w:lang w:val="en-US" w:eastAsia="zh-CN" w:bidi="ar"/>
              </w:rPr>
            </w:pPr>
            <w:r>
              <w:rPr>
                <w:rFonts w:hint="default" w:ascii="Times New Roman" w:hAnsi="Times New Roman" w:eastAsia="宋体" w:cs="Times New Roman"/>
                <w:b/>
                <w:bCs/>
                <w:color w:val="000000"/>
                <w:kern w:val="0"/>
                <w:sz w:val="19"/>
                <w:szCs w:val="19"/>
                <w:lang w:val="en-US" w:eastAsia="zh-CN" w:bidi="ar"/>
              </w:rPr>
              <w:t>3-12</w:t>
            </w:r>
            <w:r>
              <w:rPr>
                <w:rFonts w:hint="eastAsia" w:ascii="Times New Roman" w:hAnsi="Times New Roman" w:eastAsia="宋体" w:cs="Times New Roman"/>
                <w:b/>
                <w:bCs/>
                <w:color w:val="000000"/>
                <w:kern w:val="0"/>
                <w:sz w:val="19"/>
                <w:szCs w:val="19"/>
                <w:lang w:val="en-US" w:eastAsia="zh-CN" w:bidi="ar"/>
              </w:rPr>
              <w:t xml:space="preserve"> 主要环境保护目标及保护级别</w:t>
            </w:r>
          </w:p>
          <w:tbl>
            <w:tblPr>
              <w:tblStyle w:val="20"/>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23"/>
              <w:gridCol w:w="864"/>
              <w:gridCol w:w="1059"/>
              <w:gridCol w:w="696"/>
              <w:gridCol w:w="603"/>
              <w:gridCol w:w="590"/>
              <w:gridCol w:w="810"/>
              <w:gridCol w:w="642"/>
              <w:gridCol w:w="1495"/>
            </w:tblGrid>
            <w:tr w14:paraId="577448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vMerge w:val="restart"/>
                  <w:tcBorders>
                    <w:tl2br w:val="nil"/>
                    <w:tr2bl w:val="nil"/>
                  </w:tcBorders>
                  <w:noWrap w:val="0"/>
                  <w:vAlign w:val="center"/>
                </w:tcPr>
                <w:p w14:paraId="3A50E1D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环境要素</w:t>
                  </w:r>
                </w:p>
              </w:tc>
              <w:tc>
                <w:tcPr>
                  <w:tcW w:w="490" w:type="pct"/>
                  <w:vMerge w:val="restart"/>
                  <w:tcBorders>
                    <w:tl2br w:val="nil"/>
                    <w:tr2bl w:val="nil"/>
                  </w:tcBorders>
                  <w:noWrap w:val="0"/>
                  <w:vAlign w:val="center"/>
                </w:tcPr>
                <w:p w14:paraId="4F716AF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名称</w:t>
                  </w:r>
                </w:p>
              </w:tc>
              <w:tc>
                <w:tcPr>
                  <w:tcW w:w="514" w:type="pct"/>
                  <w:vMerge w:val="restart"/>
                  <w:tcBorders>
                    <w:tl2br w:val="nil"/>
                    <w:tr2bl w:val="nil"/>
                  </w:tcBorders>
                  <w:noWrap w:val="0"/>
                  <w:vAlign w:val="center"/>
                </w:tcPr>
                <w:p w14:paraId="019C58E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保护对象</w:t>
                  </w:r>
                </w:p>
              </w:tc>
              <w:tc>
                <w:tcPr>
                  <w:tcW w:w="630" w:type="pct"/>
                  <w:vMerge w:val="restart"/>
                  <w:tcBorders>
                    <w:tl2br w:val="nil"/>
                    <w:tr2bl w:val="nil"/>
                  </w:tcBorders>
                  <w:noWrap w:val="0"/>
                  <w:vAlign w:val="center"/>
                </w:tcPr>
                <w:p w14:paraId="433B859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保护内容</w:t>
                  </w:r>
                </w:p>
              </w:tc>
              <w:tc>
                <w:tcPr>
                  <w:tcW w:w="773" w:type="pct"/>
                  <w:gridSpan w:val="2"/>
                  <w:tcBorders>
                    <w:tl2br w:val="nil"/>
                    <w:tr2bl w:val="nil"/>
                  </w:tcBorders>
                  <w:noWrap w:val="0"/>
                  <w:vAlign w:val="center"/>
                </w:tcPr>
                <w:p w14:paraId="65981B9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相对坐标/m</w:t>
                  </w:r>
                </w:p>
              </w:tc>
              <w:tc>
                <w:tcPr>
                  <w:tcW w:w="351" w:type="pct"/>
                  <w:vMerge w:val="restart"/>
                  <w:tcBorders>
                    <w:tl2br w:val="nil"/>
                    <w:tr2bl w:val="nil"/>
                  </w:tcBorders>
                  <w:noWrap w:val="0"/>
                  <w:vAlign w:val="center"/>
                </w:tcPr>
                <w:p w14:paraId="170EFD7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方位</w:t>
                  </w:r>
                </w:p>
              </w:tc>
              <w:tc>
                <w:tcPr>
                  <w:tcW w:w="482" w:type="pct"/>
                  <w:vMerge w:val="restart"/>
                  <w:tcBorders>
                    <w:tl2br w:val="nil"/>
                    <w:tr2bl w:val="nil"/>
                  </w:tcBorders>
                  <w:noWrap w:val="0"/>
                  <w:vAlign w:val="center"/>
                </w:tcPr>
                <w:p w14:paraId="167A62D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距厂界距离</w:t>
                  </w:r>
                </w:p>
              </w:tc>
              <w:tc>
                <w:tcPr>
                  <w:tcW w:w="382" w:type="pct"/>
                  <w:vMerge w:val="restart"/>
                  <w:tcBorders>
                    <w:tl2br w:val="nil"/>
                    <w:tr2bl w:val="nil"/>
                  </w:tcBorders>
                  <w:noWrap w:val="0"/>
                  <w:vAlign w:val="center"/>
                </w:tcPr>
                <w:p w14:paraId="427C02D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功能区</w:t>
                  </w:r>
                </w:p>
              </w:tc>
              <w:tc>
                <w:tcPr>
                  <w:tcW w:w="887" w:type="pct"/>
                  <w:vMerge w:val="restart"/>
                  <w:tcBorders>
                    <w:tl2br w:val="nil"/>
                    <w:tr2bl w:val="nil"/>
                  </w:tcBorders>
                  <w:noWrap w:val="0"/>
                  <w:vAlign w:val="center"/>
                </w:tcPr>
                <w:p w14:paraId="7C2610F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执行标准</w:t>
                  </w:r>
                </w:p>
              </w:tc>
            </w:tr>
            <w:tr w14:paraId="6C0E8B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vMerge w:val="continue"/>
                  <w:tcBorders>
                    <w:tl2br w:val="nil"/>
                    <w:tr2bl w:val="nil"/>
                  </w:tcBorders>
                  <w:noWrap w:val="0"/>
                  <w:vAlign w:val="center"/>
                </w:tcPr>
                <w:p w14:paraId="75773B9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490" w:type="pct"/>
                  <w:vMerge w:val="continue"/>
                  <w:tcBorders>
                    <w:tl2br w:val="nil"/>
                    <w:tr2bl w:val="nil"/>
                  </w:tcBorders>
                  <w:noWrap w:val="0"/>
                  <w:vAlign w:val="center"/>
                </w:tcPr>
                <w:p w14:paraId="6395BAB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514" w:type="pct"/>
                  <w:vMerge w:val="continue"/>
                  <w:tcBorders>
                    <w:tl2br w:val="nil"/>
                    <w:tr2bl w:val="nil"/>
                  </w:tcBorders>
                  <w:noWrap w:val="0"/>
                  <w:vAlign w:val="center"/>
                </w:tcPr>
                <w:p w14:paraId="7CCCDF9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630" w:type="pct"/>
                  <w:vMerge w:val="continue"/>
                  <w:tcBorders>
                    <w:tl2br w:val="nil"/>
                    <w:tr2bl w:val="nil"/>
                  </w:tcBorders>
                  <w:noWrap w:val="0"/>
                  <w:vAlign w:val="center"/>
                </w:tcPr>
                <w:p w14:paraId="3EA8B0B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414" w:type="pct"/>
                  <w:tcBorders>
                    <w:tl2br w:val="nil"/>
                    <w:tr2bl w:val="nil"/>
                  </w:tcBorders>
                  <w:noWrap w:val="0"/>
                  <w:vAlign w:val="center"/>
                </w:tcPr>
                <w:p w14:paraId="49FA5A8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X</w:t>
                  </w:r>
                </w:p>
              </w:tc>
              <w:tc>
                <w:tcPr>
                  <w:tcW w:w="358" w:type="pct"/>
                  <w:tcBorders>
                    <w:tl2br w:val="nil"/>
                    <w:tr2bl w:val="nil"/>
                  </w:tcBorders>
                  <w:noWrap w:val="0"/>
                  <w:vAlign w:val="center"/>
                </w:tcPr>
                <w:p w14:paraId="0900B41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Y</w:t>
                  </w:r>
                </w:p>
              </w:tc>
              <w:tc>
                <w:tcPr>
                  <w:tcW w:w="351" w:type="pct"/>
                  <w:vMerge w:val="continue"/>
                  <w:tcBorders>
                    <w:tl2br w:val="nil"/>
                    <w:tr2bl w:val="nil"/>
                  </w:tcBorders>
                  <w:noWrap w:val="0"/>
                  <w:vAlign w:val="center"/>
                </w:tcPr>
                <w:p w14:paraId="27CB674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482" w:type="pct"/>
                  <w:vMerge w:val="continue"/>
                  <w:tcBorders>
                    <w:tl2br w:val="nil"/>
                    <w:tr2bl w:val="nil"/>
                  </w:tcBorders>
                  <w:noWrap w:val="0"/>
                  <w:vAlign w:val="center"/>
                </w:tcPr>
                <w:p w14:paraId="140ED31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382" w:type="pct"/>
                  <w:vMerge w:val="continue"/>
                  <w:tcBorders>
                    <w:tl2br w:val="nil"/>
                    <w:tr2bl w:val="nil"/>
                  </w:tcBorders>
                  <w:noWrap w:val="0"/>
                  <w:vAlign w:val="center"/>
                </w:tcPr>
                <w:p w14:paraId="22082CD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887" w:type="pct"/>
                  <w:vMerge w:val="continue"/>
                  <w:tcBorders>
                    <w:tl2br w:val="nil"/>
                    <w:tr2bl w:val="nil"/>
                  </w:tcBorders>
                  <w:noWrap w:val="0"/>
                  <w:vAlign w:val="center"/>
                </w:tcPr>
                <w:p w14:paraId="6CC3CB9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r>
            <w:tr w14:paraId="2D27FB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vMerge w:val="restart"/>
                  <w:tcBorders>
                    <w:tl2br w:val="nil"/>
                    <w:tr2bl w:val="nil"/>
                  </w:tcBorders>
                  <w:noWrap w:val="0"/>
                  <w:vAlign w:val="center"/>
                </w:tcPr>
                <w:p w14:paraId="38D909C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大气环境</w:t>
                  </w:r>
                </w:p>
              </w:tc>
              <w:tc>
                <w:tcPr>
                  <w:tcW w:w="490" w:type="pct"/>
                  <w:tcBorders>
                    <w:tl2br w:val="nil"/>
                    <w:tr2bl w:val="nil"/>
                  </w:tcBorders>
                  <w:noWrap w:val="0"/>
                  <w:vAlign w:val="center"/>
                </w:tcPr>
                <w:p w14:paraId="3D56666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望山村</w:t>
                  </w:r>
                </w:p>
              </w:tc>
              <w:tc>
                <w:tcPr>
                  <w:tcW w:w="514" w:type="pct"/>
                  <w:tcBorders>
                    <w:tl2br w:val="nil"/>
                    <w:tr2bl w:val="nil"/>
                  </w:tcBorders>
                  <w:noWrap w:val="0"/>
                  <w:vAlign w:val="center"/>
                </w:tcPr>
                <w:p w14:paraId="03F939E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居住区</w:t>
                  </w:r>
                </w:p>
              </w:tc>
              <w:tc>
                <w:tcPr>
                  <w:tcW w:w="630" w:type="pct"/>
                  <w:tcBorders>
                    <w:tl2br w:val="nil"/>
                    <w:tr2bl w:val="nil"/>
                  </w:tcBorders>
                  <w:noWrap w:val="0"/>
                  <w:vAlign w:val="center"/>
                </w:tcPr>
                <w:p w14:paraId="1C1A9C9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人群</w:t>
                  </w:r>
                </w:p>
              </w:tc>
              <w:tc>
                <w:tcPr>
                  <w:tcW w:w="414" w:type="pct"/>
                  <w:tcBorders>
                    <w:tl2br w:val="nil"/>
                    <w:tr2bl w:val="nil"/>
                  </w:tcBorders>
                  <w:noWrap w:val="0"/>
                  <w:vAlign w:val="center"/>
                </w:tcPr>
                <w:p w14:paraId="1C50FC7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w:t>
                  </w:r>
                </w:p>
              </w:tc>
              <w:tc>
                <w:tcPr>
                  <w:tcW w:w="358" w:type="pct"/>
                  <w:tcBorders>
                    <w:tl2br w:val="nil"/>
                    <w:tr2bl w:val="nil"/>
                  </w:tcBorders>
                  <w:noWrap w:val="0"/>
                  <w:vAlign w:val="center"/>
                </w:tcPr>
                <w:p w14:paraId="3B69CBE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189</w:t>
                  </w:r>
                </w:p>
              </w:tc>
              <w:tc>
                <w:tcPr>
                  <w:tcW w:w="351" w:type="pct"/>
                  <w:tcBorders>
                    <w:tl2br w:val="nil"/>
                    <w:tr2bl w:val="nil"/>
                  </w:tcBorders>
                  <w:noWrap w:val="0"/>
                  <w:vAlign w:val="center"/>
                </w:tcPr>
                <w:p w14:paraId="1B29330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北</w:t>
                  </w:r>
                </w:p>
              </w:tc>
              <w:tc>
                <w:tcPr>
                  <w:tcW w:w="482" w:type="pct"/>
                  <w:tcBorders>
                    <w:tl2br w:val="nil"/>
                    <w:tr2bl w:val="nil"/>
                  </w:tcBorders>
                  <w:noWrap w:val="0"/>
                  <w:vAlign w:val="center"/>
                </w:tcPr>
                <w:p w14:paraId="7ABEC70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39</w:t>
                  </w:r>
                </w:p>
              </w:tc>
              <w:tc>
                <w:tcPr>
                  <w:tcW w:w="382" w:type="pct"/>
                  <w:vMerge w:val="restart"/>
                  <w:tcBorders>
                    <w:tl2br w:val="nil"/>
                    <w:tr2bl w:val="nil"/>
                  </w:tcBorders>
                  <w:noWrap w:val="0"/>
                  <w:vAlign w:val="center"/>
                </w:tcPr>
                <w:p w14:paraId="0704D31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二类</w:t>
                  </w:r>
                </w:p>
              </w:tc>
              <w:tc>
                <w:tcPr>
                  <w:tcW w:w="887" w:type="pct"/>
                  <w:vMerge w:val="restart"/>
                  <w:tcBorders>
                    <w:tl2br w:val="nil"/>
                    <w:tr2bl w:val="nil"/>
                  </w:tcBorders>
                  <w:noWrap w:val="0"/>
                  <w:vAlign w:val="center"/>
                </w:tcPr>
                <w:p w14:paraId="0FC1131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GB3095-2012</w:t>
                  </w:r>
                  <w:r>
                    <w:rPr>
                      <w:rFonts w:hint="eastAsia" w:ascii="Times New Roman" w:hAnsi="Times New Roman" w:eastAsia="宋体" w:cs="Times New Roman"/>
                      <w:color w:val="auto"/>
                      <w:sz w:val="21"/>
                      <w:szCs w:val="21"/>
                      <w:vertAlign w:val="baseline"/>
                      <w:lang w:val="en-US" w:eastAsia="zh-CN"/>
                    </w:rPr>
                    <w:t>中二级标准</w:t>
                  </w:r>
                </w:p>
              </w:tc>
            </w:tr>
            <w:tr w14:paraId="0230C4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vMerge w:val="continue"/>
                  <w:tcBorders>
                    <w:tl2br w:val="nil"/>
                    <w:tr2bl w:val="nil"/>
                  </w:tcBorders>
                  <w:noWrap w:val="0"/>
                  <w:vAlign w:val="center"/>
                </w:tcPr>
                <w:p w14:paraId="3CB96D5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490" w:type="pct"/>
                  <w:tcBorders>
                    <w:tl2br w:val="nil"/>
                    <w:tr2bl w:val="nil"/>
                  </w:tcBorders>
                  <w:noWrap w:val="0"/>
                  <w:vAlign w:val="center"/>
                </w:tcPr>
                <w:p w14:paraId="58D51E9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望山村</w:t>
                  </w:r>
                </w:p>
              </w:tc>
              <w:tc>
                <w:tcPr>
                  <w:tcW w:w="514" w:type="pct"/>
                  <w:tcBorders>
                    <w:tl2br w:val="nil"/>
                    <w:tr2bl w:val="nil"/>
                  </w:tcBorders>
                  <w:noWrap w:val="0"/>
                  <w:vAlign w:val="center"/>
                </w:tcPr>
                <w:p w14:paraId="7508626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居住区</w:t>
                  </w:r>
                </w:p>
              </w:tc>
              <w:tc>
                <w:tcPr>
                  <w:tcW w:w="630" w:type="pct"/>
                  <w:tcBorders>
                    <w:tl2br w:val="nil"/>
                    <w:tr2bl w:val="nil"/>
                  </w:tcBorders>
                  <w:noWrap w:val="0"/>
                  <w:vAlign w:val="center"/>
                </w:tcPr>
                <w:p w14:paraId="768AF3C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人群</w:t>
                  </w:r>
                </w:p>
              </w:tc>
              <w:tc>
                <w:tcPr>
                  <w:tcW w:w="414" w:type="pct"/>
                  <w:tcBorders>
                    <w:tl2br w:val="nil"/>
                    <w:tr2bl w:val="nil"/>
                  </w:tcBorders>
                  <w:noWrap w:val="0"/>
                  <w:vAlign w:val="center"/>
                </w:tcPr>
                <w:p w14:paraId="1B1E1D3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361</w:t>
                  </w:r>
                </w:p>
              </w:tc>
              <w:tc>
                <w:tcPr>
                  <w:tcW w:w="358" w:type="pct"/>
                  <w:tcBorders>
                    <w:tl2br w:val="nil"/>
                    <w:tr2bl w:val="nil"/>
                  </w:tcBorders>
                  <w:noWrap w:val="0"/>
                  <w:vAlign w:val="center"/>
                </w:tcPr>
                <w:p w14:paraId="78046FFE">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118</w:t>
                  </w:r>
                </w:p>
              </w:tc>
              <w:tc>
                <w:tcPr>
                  <w:tcW w:w="351" w:type="pct"/>
                  <w:tcBorders>
                    <w:tl2br w:val="nil"/>
                    <w:tr2bl w:val="nil"/>
                  </w:tcBorders>
                  <w:noWrap w:val="0"/>
                  <w:vAlign w:val="center"/>
                </w:tcPr>
                <w:p w14:paraId="4C62DD3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东</w:t>
                  </w:r>
                </w:p>
              </w:tc>
              <w:tc>
                <w:tcPr>
                  <w:tcW w:w="482" w:type="pct"/>
                  <w:tcBorders>
                    <w:tl2br w:val="nil"/>
                    <w:tr2bl w:val="nil"/>
                  </w:tcBorders>
                  <w:noWrap w:val="0"/>
                  <w:vAlign w:val="center"/>
                </w:tcPr>
                <w:p w14:paraId="75AFBE8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230</w:t>
                  </w:r>
                </w:p>
              </w:tc>
              <w:tc>
                <w:tcPr>
                  <w:tcW w:w="382" w:type="pct"/>
                  <w:vMerge w:val="continue"/>
                  <w:tcBorders>
                    <w:tl2br w:val="nil"/>
                    <w:tr2bl w:val="nil"/>
                  </w:tcBorders>
                  <w:noWrap w:val="0"/>
                  <w:vAlign w:val="center"/>
                </w:tcPr>
                <w:p w14:paraId="4FDA61F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887" w:type="pct"/>
                  <w:vMerge w:val="continue"/>
                  <w:tcBorders>
                    <w:tl2br w:val="nil"/>
                    <w:tr2bl w:val="nil"/>
                  </w:tcBorders>
                  <w:noWrap w:val="0"/>
                  <w:vAlign w:val="center"/>
                </w:tcPr>
                <w:p w14:paraId="30A0C99D">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14:paraId="22ECB2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vMerge w:val="continue"/>
                  <w:tcBorders>
                    <w:tl2br w:val="nil"/>
                    <w:tr2bl w:val="nil"/>
                  </w:tcBorders>
                  <w:noWrap w:val="0"/>
                  <w:vAlign w:val="center"/>
                </w:tcPr>
                <w:p w14:paraId="18EF2CB0">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p>
              </w:tc>
              <w:tc>
                <w:tcPr>
                  <w:tcW w:w="490" w:type="pct"/>
                  <w:tcBorders>
                    <w:tl2br w:val="nil"/>
                    <w:tr2bl w:val="nil"/>
                  </w:tcBorders>
                  <w:noWrap w:val="0"/>
                  <w:vAlign w:val="center"/>
                </w:tcPr>
                <w:p w14:paraId="20D40A48">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望山村</w:t>
                  </w:r>
                </w:p>
              </w:tc>
              <w:tc>
                <w:tcPr>
                  <w:tcW w:w="514" w:type="pct"/>
                  <w:tcBorders>
                    <w:tl2br w:val="nil"/>
                    <w:tr2bl w:val="nil"/>
                  </w:tcBorders>
                  <w:noWrap w:val="0"/>
                  <w:vAlign w:val="center"/>
                </w:tcPr>
                <w:p w14:paraId="22EE9EB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居住区</w:t>
                  </w:r>
                </w:p>
              </w:tc>
              <w:tc>
                <w:tcPr>
                  <w:tcW w:w="630" w:type="pct"/>
                  <w:tcBorders>
                    <w:tl2br w:val="nil"/>
                    <w:tr2bl w:val="nil"/>
                  </w:tcBorders>
                  <w:noWrap w:val="0"/>
                  <w:vAlign w:val="center"/>
                </w:tcPr>
                <w:p w14:paraId="447FA56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人群</w:t>
                  </w:r>
                </w:p>
              </w:tc>
              <w:tc>
                <w:tcPr>
                  <w:tcW w:w="414" w:type="pct"/>
                  <w:tcBorders>
                    <w:tl2br w:val="nil"/>
                    <w:tr2bl w:val="nil"/>
                  </w:tcBorders>
                  <w:noWrap w:val="0"/>
                  <w:vAlign w:val="center"/>
                </w:tcPr>
                <w:p w14:paraId="0BB226C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513</w:t>
                  </w:r>
                </w:p>
              </w:tc>
              <w:tc>
                <w:tcPr>
                  <w:tcW w:w="358" w:type="pct"/>
                  <w:tcBorders>
                    <w:tl2br w:val="nil"/>
                    <w:tr2bl w:val="nil"/>
                  </w:tcBorders>
                  <w:noWrap w:val="0"/>
                  <w:vAlign w:val="center"/>
                </w:tcPr>
                <w:p w14:paraId="1722A17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-110</w:t>
                  </w:r>
                </w:p>
              </w:tc>
              <w:tc>
                <w:tcPr>
                  <w:tcW w:w="351" w:type="pct"/>
                  <w:tcBorders>
                    <w:tl2br w:val="nil"/>
                    <w:tr2bl w:val="nil"/>
                  </w:tcBorders>
                  <w:noWrap w:val="0"/>
                  <w:vAlign w:val="center"/>
                </w:tcPr>
                <w:p w14:paraId="02B2841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东</w:t>
                  </w:r>
                </w:p>
              </w:tc>
              <w:tc>
                <w:tcPr>
                  <w:tcW w:w="482" w:type="pct"/>
                  <w:tcBorders>
                    <w:tl2br w:val="nil"/>
                    <w:tr2bl w:val="nil"/>
                  </w:tcBorders>
                  <w:noWrap w:val="0"/>
                  <w:vAlign w:val="center"/>
                </w:tcPr>
                <w:p w14:paraId="5C33315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383</w:t>
                  </w:r>
                </w:p>
              </w:tc>
              <w:tc>
                <w:tcPr>
                  <w:tcW w:w="382" w:type="pct"/>
                  <w:vMerge w:val="continue"/>
                  <w:tcBorders>
                    <w:tl2br w:val="nil"/>
                    <w:tr2bl w:val="nil"/>
                  </w:tcBorders>
                  <w:noWrap w:val="0"/>
                  <w:vAlign w:val="center"/>
                </w:tcPr>
                <w:p w14:paraId="30CBC2A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887" w:type="pct"/>
                  <w:vMerge w:val="continue"/>
                  <w:tcBorders>
                    <w:tl2br w:val="nil"/>
                    <w:tr2bl w:val="nil"/>
                  </w:tcBorders>
                  <w:noWrap w:val="0"/>
                  <w:vAlign w:val="center"/>
                </w:tcPr>
                <w:p w14:paraId="232508B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r>
            <w:tr w14:paraId="74DD1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tcBorders>
                    <w:tl2br w:val="nil"/>
                    <w:tr2bl w:val="nil"/>
                  </w:tcBorders>
                  <w:noWrap w:val="0"/>
                  <w:vAlign w:val="center"/>
                </w:tcPr>
                <w:p w14:paraId="6D50AC4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声环境</w:t>
                  </w:r>
                </w:p>
              </w:tc>
              <w:tc>
                <w:tcPr>
                  <w:tcW w:w="490" w:type="pct"/>
                  <w:tcBorders>
                    <w:tl2br w:val="nil"/>
                    <w:tr2bl w:val="nil"/>
                  </w:tcBorders>
                  <w:noWrap w:val="0"/>
                  <w:vAlign w:val="center"/>
                </w:tcPr>
                <w:p w14:paraId="02CBD67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望山村</w:t>
                  </w:r>
                </w:p>
              </w:tc>
              <w:tc>
                <w:tcPr>
                  <w:tcW w:w="514" w:type="pct"/>
                  <w:tcBorders>
                    <w:tl2br w:val="nil"/>
                    <w:tr2bl w:val="nil"/>
                  </w:tcBorders>
                  <w:noWrap w:val="0"/>
                  <w:vAlign w:val="center"/>
                </w:tcPr>
                <w:p w14:paraId="7857567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居住区</w:t>
                  </w:r>
                </w:p>
              </w:tc>
              <w:tc>
                <w:tcPr>
                  <w:tcW w:w="630" w:type="pct"/>
                  <w:tcBorders>
                    <w:tl2br w:val="nil"/>
                    <w:tr2bl w:val="nil"/>
                  </w:tcBorders>
                  <w:noWrap w:val="0"/>
                  <w:vAlign w:val="center"/>
                </w:tcPr>
                <w:p w14:paraId="4FDB36FB">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人群</w:t>
                  </w:r>
                </w:p>
              </w:tc>
              <w:tc>
                <w:tcPr>
                  <w:tcW w:w="414" w:type="pct"/>
                  <w:tcBorders>
                    <w:tl2br w:val="nil"/>
                    <w:tr2bl w:val="nil"/>
                  </w:tcBorders>
                  <w:noWrap w:val="0"/>
                  <w:vAlign w:val="center"/>
                </w:tcPr>
                <w:p w14:paraId="4CFC6EDA">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w:t>
                  </w:r>
                </w:p>
              </w:tc>
              <w:tc>
                <w:tcPr>
                  <w:tcW w:w="358" w:type="pct"/>
                  <w:tcBorders>
                    <w:tl2br w:val="nil"/>
                    <w:tr2bl w:val="nil"/>
                  </w:tcBorders>
                  <w:noWrap w:val="0"/>
                  <w:vAlign w:val="center"/>
                </w:tcPr>
                <w:p w14:paraId="3129348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189</w:t>
                  </w:r>
                </w:p>
              </w:tc>
              <w:tc>
                <w:tcPr>
                  <w:tcW w:w="351" w:type="pct"/>
                  <w:tcBorders>
                    <w:tl2br w:val="nil"/>
                    <w:tr2bl w:val="nil"/>
                  </w:tcBorders>
                  <w:noWrap w:val="0"/>
                  <w:vAlign w:val="center"/>
                </w:tcPr>
                <w:p w14:paraId="6784039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北</w:t>
                  </w:r>
                </w:p>
              </w:tc>
              <w:tc>
                <w:tcPr>
                  <w:tcW w:w="482" w:type="pct"/>
                  <w:tcBorders>
                    <w:tl2br w:val="nil"/>
                    <w:tr2bl w:val="nil"/>
                  </w:tcBorders>
                  <w:noWrap w:val="0"/>
                  <w:vAlign w:val="center"/>
                </w:tcPr>
                <w:p w14:paraId="2E162C02">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39</w:t>
                  </w:r>
                </w:p>
              </w:tc>
              <w:tc>
                <w:tcPr>
                  <w:tcW w:w="382" w:type="pct"/>
                  <w:tcBorders>
                    <w:tl2br w:val="nil"/>
                    <w:tr2bl w:val="nil"/>
                  </w:tcBorders>
                  <w:noWrap w:val="0"/>
                  <w:vAlign w:val="center"/>
                </w:tcPr>
                <w:p w14:paraId="403F01D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r>
                    <w:rPr>
                      <w:rFonts w:hint="eastAsia" w:ascii="Times New Roman" w:hAnsi="Times New Roman" w:eastAsia="宋体" w:cs="Times New Roman"/>
                      <w:color w:val="auto"/>
                      <w:sz w:val="21"/>
                      <w:szCs w:val="21"/>
                      <w:vertAlign w:val="baseline"/>
                      <w:lang w:val="en-US" w:eastAsia="zh-CN"/>
                    </w:rPr>
                    <w:t>类</w:t>
                  </w:r>
                </w:p>
              </w:tc>
              <w:tc>
                <w:tcPr>
                  <w:tcW w:w="887" w:type="pct"/>
                  <w:tcBorders>
                    <w:tl2br w:val="nil"/>
                    <w:tr2bl w:val="nil"/>
                  </w:tcBorders>
                  <w:noWrap w:val="0"/>
                  <w:vAlign w:val="center"/>
                </w:tcPr>
                <w:p w14:paraId="132E205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GB3096-2008</w:t>
                  </w:r>
                </w:p>
                <w:p w14:paraId="4377605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类</w:t>
                  </w:r>
                </w:p>
              </w:tc>
            </w:tr>
            <w:tr w14:paraId="23207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tcBorders>
                    <w:tl2br w:val="nil"/>
                    <w:tr2bl w:val="nil"/>
                  </w:tcBorders>
                  <w:noWrap w:val="0"/>
                  <w:vAlign w:val="center"/>
                </w:tcPr>
                <w:p w14:paraId="122C1A73">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地下水环境</w:t>
                  </w:r>
                </w:p>
              </w:tc>
              <w:tc>
                <w:tcPr>
                  <w:tcW w:w="4511" w:type="pct"/>
                  <w:gridSpan w:val="9"/>
                  <w:tcBorders>
                    <w:tl2br w:val="nil"/>
                    <w:tr2bl w:val="nil"/>
                  </w:tcBorders>
                  <w:noWrap w:val="0"/>
                  <w:vAlign w:val="center"/>
                </w:tcPr>
                <w:p w14:paraId="0D9F9579">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 500m范围内无地下水集中式饮用水水源和热水、矿泉水、温泉等特殊地下</w:t>
                  </w:r>
                </w:p>
                <w:p w14:paraId="5D9CBAA1">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水资源。</w:t>
                  </w:r>
                </w:p>
              </w:tc>
            </w:tr>
            <w:tr w14:paraId="74DCE0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8" w:type="pct"/>
                  <w:tcBorders>
                    <w:tl2br w:val="nil"/>
                    <w:tr2bl w:val="nil"/>
                  </w:tcBorders>
                  <w:noWrap w:val="0"/>
                  <w:vAlign w:val="center"/>
                </w:tcPr>
                <w:p w14:paraId="65FE629C">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生态</w:t>
                  </w:r>
                </w:p>
                <w:p w14:paraId="0254AA9F">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环境</w:t>
                  </w:r>
                </w:p>
                <w:p w14:paraId="3E7B33A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4511" w:type="pct"/>
                  <w:gridSpan w:val="9"/>
                  <w:tcBorders>
                    <w:tl2br w:val="nil"/>
                    <w:tr2bl w:val="nil"/>
                  </w:tcBorders>
                  <w:noWrap w:val="0"/>
                  <w:vAlign w:val="center"/>
                </w:tcPr>
                <w:p w14:paraId="6A72DDD4">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本项目位于现有</w:t>
                  </w:r>
                  <w:r>
                    <w:rPr>
                      <w:rFonts w:hint="eastAsia" w:ascii="Times New Roman" w:hAnsi="Times New Roman" w:eastAsia="宋体" w:cs="Times New Roman"/>
                      <w:color w:val="auto"/>
                      <w:sz w:val="21"/>
                      <w:szCs w:val="21"/>
                      <w:vertAlign w:val="baseline"/>
                      <w:lang w:val="en-US" w:eastAsia="zh-CN"/>
                    </w:rPr>
                    <w:t>开发区内</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用地性质为工业用地</w:t>
                  </w:r>
                  <w:r>
                    <w:rPr>
                      <w:rFonts w:hint="default" w:ascii="Times New Roman" w:hAnsi="Times New Roman" w:eastAsia="宋体" w:cs="Times New Roman"/>
                      <w:color w:val="auto"/>
                      <w:sz w:val="21"/>
                      <w:szCs w:val="21"/>
                      <w:vertAlign w:val="baseline"/>
                      <w:lang w:val="en-US" w:eastAsia="zh-CN"/>
                    </w:rPr>
                    <w:t>，且占地范围内无生态环境保护目标</w:t>
                  </w:r>
                </w:p>
              </w:tc>
            </w:tr>
          </w:tbl>
          <w:p w14:paraId="39C4877C">
            <w:pPr>
              <w:pStyle w:val="76"/>
              <w:spacing w:line="240" w:lineRule="auto"/>
              <w:ind w:left="0" w:leftChars="0" w:firstLine="0" w:firstLineChars="0"/>
              <w:rPr>
                <w:rFonts w:cs="宋体"/>
                <w:bCs/>
                <w:color w:val="auto"/>
                <w:kern w:val="2"/>
                <w:sz w:val="24"/>
                <w:szCs w:val="24"/>
                <w:lang w:val="en-US" w:eastAsia="zh-CN"/>
              </w:rPr>
            </w:pPr>
            <w:r>
              <w:rPr>
                <w:rFonts w:hint="eastAsia" w:ascii="Times New Roman" w:hAnsi="Times New Roman" w:eastAsia="宋体" w:cs="Times New Roman"/>
                <w:b/>
                <w:bCs/>
                <w:color w:val="auto"/>
                <w:sz w:val="21"/>
                <w:szCs w:val="21"/>
                <w:highlight w:val="none"/>
                <w:lang w:val="en-US" w:eastAsia="zh-CN"/>
              </w:rPr>
              <w:t>注：本项目以</w:t>
            </w:r>
            <w:r>
              <w:rPr>
                <w:rFonts w:hint="eastAsia" w:cs="Times New Roman"/>
                <w:b/>
                <w:bCs/>
                <w:color w:val="auto"/>
                <w:sz w:val="21"/>
                <w:szCs w:val="21"/>
                <w:highlight w:val="none"/>
                <w:lang w:val="en-US" w:eastAsia="zh-CN"/>
              </w:rPr>
              <w:t>厂区排气筒</w:t>
            </w:r>
            <w:r>
              <w:rPr>
                <w:rFonts w:hint="eastAsia" w:ascii="Times New Roman" w:hAnsi="Times New Roman" w:eastAsia="宋体" w:cs="Times New Roman"/>
                <w:b/>
                <w:bCs/>
                <w:color w:val="auto"/>
                <w:sz w:val="21"/>
                <w:szCs w:val="21"/>
                <w:highlight w:val="none"/>
                <w:lang w:val="en-US" w:eastAsia="zh-CN"/>
              </w:rPr>
              <w:t>为坐标原点，正</w:t>
            </w:r>
            <w:r>
              <w:rPr>
                <w:rFonts w:hint="eastAsia" w:cs="Times New Roman"/>
                <w:b/>
                <w:bCs/>
                <w:color w:val="auto"/>
                <w:sz w:val="21"/>
                <w:szCs w:val="21"/>
                <w:highlight w:val="none"/>
                <w:lang w:val="en-US" w:eastAsia="zh-CN"/>
              </w:rPr>
              <w:t>东</w:t>
            </w:r>
            <w:r>
              <w:rPr>
                <w:rFonts w:hint="eastAsia" w:ascii="Times New Roman" w:hAnsi="Times New Roman" w:eastAsia="宋体" w:cs="Times New Roman"/>
                <w:b/>
                <w:bCs/>
                <w:color w:val="auto"/>
                <w:sz w:val="21"/>
                <w:szCs w:val="21"/>
                <w:highlight w:val="none"/>
                <w:lang w:val="en-US" w:eastAsia="zh-CN"/>
              </w:rPr>
              <w:t>向为X轴正方向，正北向为Y轴正方向</w:t>
            </w:r>
            <w:r>
              <w:rPr>
                <w:rFonts w:hint="eastAsia" w:cs="Times New Roman"/>
                <w:b/>
                <w:bCs/>
                <w:color w:val="auto"/>
                <w:sz w:val="21"/>
                <w:szCs w:val="21"/>
                <w:highlight w:val="none"/>
                <w:lang w:val="en-US" w:eastAsia="zh-CN"/>
              </w:rPr>
              <w:t>。</w:t>
            </w:r>
          </w:p>
        </w:tc>
      </w:tr>
      <w:tr w14:paraId="685B4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77" w:type="dxa"/>
            <w:noWrap w:val="0"/>
            <w:tcMar>
              <w:left w:w="28" w:type="dxa"/>
              <w:right w:w="28" w:type="dxa"/>
            </w:tcMar>
            <w:vAlign w:val="center"/>
          </w:tcPr>
          <w:p w14:paraId="1957E053">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污染</w:t>
            </w:r>
          </w:p>
          <w:p w14:paraId="62AE2C41">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物排</w:t>
            </w:r>
          </w:p>
          <w:p w14:paraId="7A4C6352">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放控</w:t>
            </w:r>
          </w:p>
          <w:p w14:paraId="2855B097">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bCs/>
                <w:color w:val="auto"/>
                <w:kern w:val="2"/>
                <w:sz w:val="24"/>
                <w:szCs w:val="24"/>
                <w:lang w:val="en-US" w:eastAsia="zh-CN"/>
              </w:rPr>
              <w:t>制标</w:t>
            </w:r>
          </w:p>
          <w:p w14:paraId="678CAA8E">
            <w:pPr>
              <w:pStyle w:val="16"/>
              <w:adjustRightInd w:val="0"/>
              <w:snapToGrid w:val="0"/>
              <w:spacing w:before="0" w:beforeAutospacing="0" w:after="0" w:afterAutospacing="0"/>
              <w:jc w:val="center"/>
              <w:rPr>
                <w:rFonts w:cs="宋体"/>
                <w:bCs/>
                <w:color w:val="auto"/>
                <w:kern w:val="2"/>
                <w:sz w:val="24"/>
                <w:szCs w:val="24"/>
                <w:lang w:val="en-US" w:eastAsia="zh-CN"/>
              </w:rPr>
            </w:pPr>
            <w:r>
              <w:rPr>
                <w:rFonts w:hint="eastAsia" w:cs="宋体"/>
                <w:bCs/>
                <w:color w:val="auto"/>
                <w:kern w:val="2"/>
                <w:sz w:val="24"/>
                <w:szCs w:val="24"/>
                <w:lang w:val="en-US" w:eastAsia="zh-CN"/>
              </w:rPr>
              <w:t>准</w:t>
            </w:r>
          </w:p>
        </w:tc>
        <w:tc>
          <w:tcPr>
            <w:tcW w:w="8622" w:type="dxa"/>
            <w:noWrap w:val="0"/>
            <w:vAlign w:val="center"/>
          </w:tcPr>
          <w:p w14:paraId="178054F2">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1、废气</w:t>
            </w:r>
          </w:p>
          <w:p w14:paraId="0F96D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6"/>
                <w:rFonts w:hint="default" w:ascii="Times New Roman" w:hAnsi="Times New Roman"/>
                <w:sz w:val="24"/>
                <w:szCs w:val="24"/>
              </w:rPr>
            </w:pPr>
            <w:r>
              <w:rPr>
                <w:rFonts w:hint="default" w:ascii="Times New Roman" w:hAnsi="Times New Roman" w:eastAsia="宋体" w:cs="Times New Roman"/>
                <w:color w:val="auto"/>
                <w:sz w:val="24"/>
                <w:szCs w:val="24"/>
              </w:rPr>
              <w:t>项</w:t>
            </w:r>
            <w:r>
              <w:rPr>
                <w:rFonts w:ascii="宋体" w:hAnsi="宋体"/>
                <w:color w:val="auto"/>
                <w:sz w:val="24"/>
              </w:rPr>
              <w:t>目</w:t>
            </w:r>
            <w:r>
              <w:rPr>
                <w:rFonts w:hint="eastAsia" w:ascii="宋体" w:hAnsi="宋体"/>
                <w:color w:val="auto"/>
                <w:sz w:val="24"/>
                <w:lang w:val="en-US" w:eastAsia="zh-CN"/>
              </w:rPr>
              <w:t>产生的</w:t>
            </w:r>
            <w:r>
              <w:rPr>
                <w:rFonts w:ascii="宋体" w:hAnsi="宋体"/>
                <w:color w:val="auto"/>
                <w:sz w:val="24"/>
              </w:rPr>
              <w:t>有机废气（以非甲烷总烃计）</w:t>
            </w:r>
            <w:r>
              <w:rPr>
                <w:rFonts w:hint="eastAsia" w:ascii="宋体" w:hAnsi="宋体"/>
                <w:color w:val="auto"/>
                <w:sz w:val="24"/>
                <w:lang w:eastAsia="zh-CN"/>
              </w:rPr>
              <w:t>有组织</w:t>
            </w:r>
            <w:r>
              <w:rPr>
                <w:rFonts w:hint="default" w:ascii="Times New Roman" w:hAnsi="Times New Roman"/>
                <w:color w:val="auto"/>
                <w:sz w:val="24"/>
                <w:szCs w:val="24"/>
              </w:rPr>
              <w:t>排放</w:t>
            </w:r>
            <w:r>
              <w:rPr>
                <w:rFonts w:hint="eastAsia"/>
                <w:color w:val="auto"/>
                <w:sz w:val="24"/>
                <w:szCs w:val="24"/>
                <w:lang w:eastAsia="zh-CN"/>
              </w:rPr>
              <w:t>满足《玻璃工业大气污染物排放标准》（GB26453-2022）表1标准要求</w:t>
            </w:r>
            <w:r>
              <w:rPr>
                <w:rFonts w:hint="eastAsia" w:ascii="宋体" w:hAnsi="宋体"/>
                <w:color w:val="auto"/>
                <w:sz w:val="24"/>
                <w:lang w:eastAsia="zh-CN"/>
              </w:rPr>
              <w:t>，厂区内无组织</w:t>
            </w:r>
            <w:r>
              <w:rPr>
                <w:rFonts w:hint="default" w:ascii="Times New Roman" w:hAnsi="Times New Roman"/>
                <w:color w:val="auto"/>
                <w:sz w:val="24"/>
                <w:szCs w:val="24"/>
              </w:rPr>
              <w:t>排放</w:t>
            </w:r>
            <w:r>
              <w:rPr>
                <w:rFonts w:hint="eastAsia"/>
                <w:color w:val="auto"/>
                <w:sz w:val="24"/>
                <w:szCs w:val="24"/>
                <w:lang w:eastAsia="zh-CN"/>
              </w:rPr>
              <w:t>满足《玻璃工业大气污染物排放标准》（GB26453-2022）表</w:t>
            </w:r>
            <w:r>
              <w:rPr>
                <w:rFonts w:hint="eastAsia"/>
                <w:color w:val="auto"/>
                <w:sz w:val="24"/>
                <w:szCs w:val="24"/>
                <w:lang w:val="en-US" w:eastAsia="zh-CN"/>
              </w:rPr>
              <w:t>B.1</w:t>
            </w:r>
            <w:r>
              <w:rPr>
                <w:rFonts w:hint="eastAsia"/>
                <w:color w:val="auto"/>
                <w:sz w:val="24"/>
                <w:szCs w:val="24"/>
                <w:lang w:eastAsia="zh-CN"/>
              </w:rPr>
              <w:t>标准要求，厂界无组织排放参照《大气污染物综合排放标准》（GB16297-1996）表2无组织监控浓度限值要求。</w:t>
            </w:r>
          </w:p>
          <w:p w14:paraId="4E584A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3-</w:t>
            </w:r>
            <w:r>
              <w:rPr>
                <w:rFonts w:hint="eastAsia" w:cs="Times New Roman"/>
                <w:b/>
                <w:bCs/>
                <w:sz w:val="21"/>
                <w:szCs w:val="21"/>
                <w:lang w:val="en-US" w:eastAsia="zh-CN"/>
              </w:rPr>
              <w:t>4</w:t>
            </w:r>
            <w:r>
              <w:rPr>
                <w:rFonts w:hint="default" w:ascii="Times New Roman" w:hAnsi="Times New Roman" w:eastAsia="宋体" w:cs="Times New Roman"/>
                <w:b/>
                <w:bCs/>
                <w:sz w:val="21"/>
                <w:szCs w:val="21"/>
              </w:rPr>
              <w:t xml:space="preserve">  玻璃工业大气污染物排放标准</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036"/>
              <w:gridCol w:w="1488"/>
              <w:gridCol w:w="1014"/>
              <w:gridCol w:w="1957"/>
            </w:tblGrid>
            <w:tr w14:paraId="23BD6E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l2br w:val="nil"/>
                    <w:tr2bl w:val="nil"/>
                  </w:tcBorders>
                  <w:noWrap w:val="0"/>
                  <w:vAlign w:val="center"/>
                </w:tcPr>
                <w:p w14:paraId="72C6EDAF">
                  <w:pPr>
                    <w:pStyle w:val="82"/>
                    <w:rPr>
                      <w:b/>
                    </w:rPr>
                  </w:pPr>
                  <w:r>
                    <w:rPr>
                      <w:rFonts w:hint="eastAsia"/>
                      <w:b/>
                    </w:rPr>
                    <w:t>类别</w:t>
                  </w:r>
                </w:p>
              </w:tc>
              <w:tc>
                <w:tcPr>
                  <w:tcW w:w="1806" w:type="pct"/>
                  <w:tcBorders>
                    <w:tl2br w:val="nil"/>
                    <w:tr2bl w:val="nil"/>
                  </w:tcBorders>
                  <w:noWrap w:val="0"/>
                  <w:vAlign w:val="center"/>
                </w:tcPr>
                <w:p w14:paraId="62D3C255">
                  <w:pPr>
                    <w:pStyle w:val="82"/>
                    <w:rPr>
                      <w:b/>
                    </w:rPr>
                  </w:pPr>
                  <w:r>
                    <w:rPr>
                      <w:rFonts w:hint="eastAsia"/>
                      <w:b/>
                    </w:rPr>
                    <w:t>标准名称</w:t>
                  </w:r>
                </w:p>
              </w:tc>
              <w:tc>
                <w:tcPr>
                  <w:tcW w:w="1488" w:type="pct"/>
                  <w:gridSpan w:val="2"/>
                  <w:tcBorders>
                    <w:tl2br w:val="nil"/>
                    <w:tr2bl w:val="nil"/>
                  </w:tcBorders>
                  <w:noWrap w:val="0"/>
                  <w:vAlign w:val="center"/>
                </w:tcPr>
                <w:p w14:paraId="48BDDB36">
                  <w:pPr>
                    <w:pStyle w:val="82"/>
                    <w:rPr>
                      <w:b/>
                    </w:rPr>
                  </w:pPr>
                  <w:r>
                    <w:rPr>
                      <w:rFonts w:hint="eastAsia"/>
                      <w:b/>
                    </w:rPr>
                    <w:t>污染因子</w:t>
                  </w:r>
                </w:p>
              </w:tc>
              <w:tc>
                <w:tcPr>
                  <w:tcW w:w="1164" w:type="pct"/>
                  <w:tcBorders>
                    <w:tl2br w:val="nil"/>
                    <w:tr2bl w:val="nil"/>
                  </w:tcBorders>
                  <w:noWrap w:val="0"/>
                  <w:vAlign w:val="center"/>
                </w:tcPr>
                <w:p w14:paraId="6A909B84">
                  <w:pPr>
                    <w:pStyle w:val="82"/>
                    <w:rPr>
                      <w:b/>
                    </w:rPr>
                  </w:pPr>
                  <w:r>
                    <w:rPr>
                      <w:rFonts w:hint="eastAsia"/>
                      <w:b/>
                    </w:rPr>
                    <w:t>标准限值</w:t>
                  </w:r>
                </w:p>
              </w:tc>
            </w:tr>
            <w:tr w14:paraId="5B1DFD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l2br w:val="nil"/>
                    <w:tr2bl w:val="nil"/>
                  </w:tcBorders>
                  <w:noWrap w:val="0"/>
                  <w:vAlign w:val="center"/>
                </w:tcPr>
                <w:p w14:paraId="7A6324D3">
                  <w:pPr>
                    <w:pStyle w:val="82"/>
                  </w:pPr>
                  <w:r>
                    <w:rPr>
                      <w:rFonts w:hint="default" w:ascii="Times New Roman" w:hAnsi="Times New Roman" w:cs="Times New Roman"/>
                      <w:b w:val="0"/>
                      <w:bCs w:val="0"/>
                      <w:sz w:val="21"/>
                      <w:szCs w:val="21"/>
                    </w:rPr>
                    <w:t>NMHC</w:t>
                  </w:r>
                </w:p>
              </w:tc>
              <w:tc>
                <w:tcPr>
                  <w:tcW w:w="1806" w:type="pct"/>
                  <w:tcBorders>
                    <w:tl2br w:val="nil"/>
                    <w:tr2bl w:val="nil"/>
                  </w:tcBorders>
                  <w:noWrap w:val="0"/>
                  <w:vAlign w:val="center"/>
                </w:tcPr>
                <w:p w14:paraId="4D453EF5">
                  <w:pPr>
                    <w:pStyle w:val="82"/>
                  </w:pPr>
                  <w:r>
                    <w:rPr>
                      <w:rFonts w:hint="eastAsia"/>
                    </w:rPr>
                    <w:t>《玻璃工业大气污染物排放标准》（GB26453-2022）表1</w:t>
                  </w:r>
                </w:p>
              </w:tc>
              <w:tc>
                <w:tcPr>
                  <w:tcW w:w="885" w:type="pct"/>
                  <w:tcBorders>
                    <w:tl2br w:val="nil"/>
                    <w:tr2bl w:val="nil"/>
                  </w:tcBorders>
                  <w:noWrap w:val="0"/>
                  <w:vAlign w:val="center"/>
                </w:tcPr>
                <w:p w14:paraId="66813C07">
                  <w:pPr>
                    <w:pStyle w:val="82"/>
                  </w:pPr>
                  <w:r>
                    <w:rPr>
                      <w:rFonts w:hint="eastAsia"/>
                    </w:rPr>
                    <w:t>非甲烷</w:t>
                  </w:r>
                  <w:r>
                    <w:t>总烃</w:t>
                  </w:r>
                </w:p>
              </w:tc>
              <w:tc>
                <w:tcPr>
                  <w:tcW w:w="602" w:type="pct"/>
                  <w:tcBorders>
                    <w:tl2br w:val="nil"/>
                    <w:tr2bl w:val="nil"/>
                  </w:tcBorders>
                  <w:noWrap w:val="0"/>
                  <w:vAlign w:val="center"/>
                </w:tcPr>
                <w:p w14:paraId="4BD096B0">
                  <w:pPr>
                    <w:pStyle w:val="82"/>
                  </w:pPr>
                  <w:r>
                    <w:rPr>
                      <w:rFonts w:hint="eastAsia"/>
                    </w:rPr>
                    <w:t>有组织</w:t>
                  </w:r>
                </w:p>
              </w:tc>
              <w:tc>
                <w:tcPr>
                  <w:tcW w:w="1164" w:type="pct"/>
                  <w:tcBorders>
                    <w:tl2br w:val="nil"/>
                    <w:tr2bl w:val="nil"/>
                  </w:tcBorders>
                  <w:noWrap w:val="0"/>
                  <w:vAlign w:val="center"/>
                </w:tcPr>
                <w:p w14:paraId="5C520DB3">
                  <w:pPr>
                    <w:pStyle w:val="82"/>
                  </w:pPr>
                  <w:r>
                    <w:t>80mg/m</w:t>
                  </w:r>
                  <w:r>
                    <w:rPr>
                      <w:vertAlign w:val="superscript"/>
                    </w:rPr>
                    <w:t>3</w:t>
                  </w:r>
                </w:p>
              </w:tc>
            </w:tr>
          </w:tbl>
          <w:p w14:paraId="0CDF168C">
            <w:pPr>
              <w:keepNext w:val="0"/>
              <w:keepLines w:val="0"/>
              <w:suppressLineNumbers w:val="0"/>
              <w:spacing w:before="0" w:beforeLines="0" w:beforeAutospacing="0" w:after="0" w:afterLines="0" w:afterAutospacing="0" w:line="460" w:lineRule="exact"/>
              <w:ind w:left="0" w:right="0"/>
              <w:jc w:val="right"/>
              <w:rPr>
                <w:rFonts w:hint="eastAsia"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1"/>
                <w:szCs w:val="21"/>
              </w:rPr>
              <w:t>表3-</w:t>
            </w:r>
            <w:r>
              <w:rPr>
                <w:rFonts w:hint="eastAsia" w:cs="Times New Roman"/>
                <w:b/>
                <w:bCs/>
                <w:color w:val="000000"/>
                <w:sz w:val="21"/>
                <w:szCs w:val="21"/>
                <w:lang w:val="en-US" w:eastAsia="zh-CN"/>
              </w:rPr>
              <w:t>5</w:t>
            </w:r>
            <w:r>
              <w:rPr>
                <w:rFonts w:hint="default" w:ascii="Times New Roman" w:hAnsi="Times New Roman" w:eastAsia="宋体" w:cs="Times New Roman"/>
                <w:b/>
                <w:bCs/>
                <w:color w:val="000000"/>
                <w:sz w:val="21"/>
                <w:szCs w:val="21"/>
              </w:rPr>
              <w:t xml:space="preserve">  </w:t>
            </w:r>
            <w:r>
              <w:rPr>
                <w:rFonts w:hint="eastAsia" w:cs="Times New Roman"/>
                <w:b/>
                <w:bCs/>
                <w:color w:val="000000"/>
                <w:sz w:val="21"/>
                <w:szCs w:val="21"/>
                <w:lang w:eastAsia="zh-CN"/>
              </w:rPr>
              <w:t>无组织</w:t>
            </w:r>
            <w:r>
              <w:rPr>
                <w:rFonts w:hint="default" w:ascii="Times New Roman" w:hAnsi="Times New Roman" w:eastAsia="宋体" w:cs="Times New Roman"/>
                <w:b/>
                <w:bCs/>
                <w:color w:val="000000"/>
                <w:sz w:val="21"/>
                <w:szCs w:val="21"/>
              </w:rPr>
              <w:t>大气污染物排放标准</w:t>
            </w:r>
            <w:r>
              <w:rPr>
                <w:rFonts w:hint="eastAsia" w:cs="Times New Roman"/>
                <w:b/>
                <w:bCs/>
                <w:color w:val="000000"/>
                <w:sz w:val="21"/>
                <w:szCs w:val="21"/>
                <w:lang w:val="en-US" w:eastAsia="zh-CN"/>
              </w:rPr>
              <w:t xml:space="preserve">               单位：</w:t>
            </w:r>
            <w:r>
              <w:rPr>
                <w:b/>
                <w:bCs/>
              </w:rPr>
              <w:t>mg/m</w:t>
            </w:r>
            <w:r>
              <w:rPr>
                <w:b/>
                <w:bCs/>
                <w:vertAlign w:val="superscript"/>
              </w:rPr>
              <w:t>3</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037"/>
              <w:gridCol w:w="876"/>
              <w:gridCol w:w="2393"/>
              <w:gridCol w:w="1227"/>
              <w:gridCol w:w="2868"/>
            </w:tblGrid>
            <w:tr w14:paraId="3A7182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7" w:type="pct"/>
                  <w:tcBorders>
                    <w:tl2br w:val="nil"/>
                    <w:tr2bl w:val="nil"/>
                  </w:tcBorders>
                  <w:noWrap w:val="0"/>
                  <w:vAlign w:val="center"/>
                </w:tcPr>
                <w:p w14:paraId="7BA760A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污染物项目</w:t>
                  </w:r>
                </w:p>
              </w:tc>
              <w:tc>
                <w:tcPr>
                  <w:tcW w:w="521" w:type="pct"/>
                  <w:tcBorders>
                    <w:tl2br w:val="nil"/>
                    <w:tr2bl w:val="nil"/>
                  </w:tcBorders>
                  <w:noWrap w:val="0"/>
                  <w:vAlign w:val="center"/>
                </w:tcPr>
                <w:p w14:paraId="06E0706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排放限值</w:t>
                  </w:r>
                </w:p>
              </w:tc>
              <w:tc>
                <w:tcPr>
                  <w:tcW w:w="1424" w:type="pct"/>
                  <w:tcBorders>
                    <w:tl2br w:val="nil"/>
                    <w:tr2bl w:val="nil"/>
                  </w:tcBorders>
                  <w:noWrap w:val="0"/>
                  <w:vAlign w:val="center"/>
                </w:tcPr>
                <w:p w14:paraId="3360854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限值含义</w:t>
                  </w:r>
                </w:p>
              </w:tc>
              <w:tc>
                <w:tcPr>
                  <w:tcW w:w="730" w:type="pct"/>
                  <w:tcBorders>
                    <w:tl2br w:val="nil"/>
                    <w:tr2bl w:val="nil"/>
                  </w:tcBorders>
                  <w:noWrap w:val="0"/>
                  <w:vAlign w:val="center"/>
                </w:tcPr>
                <w:p w14:paraId="320AA8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监控位置</w:t>
                  </w:r>
                </w:p>
              </w:tc>
              <w:tc>
                <w:tcPr>
                  <w:tcW w:w="1706" w:type="pct"/>
                  <w:tcBorders>
                    <w:tl2br w:val="nil"/>
                    <w:tr2bl w:val="nil"/>
                  </w:tcBorders>
                  <w:noWrap w:val="0"/>
                  <w:vAlign w:val="center"/>
                </w:tcPr>
                <w:p w14:paraId="2EFDECB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cs="Times New Roman"/>
                      <w:b w:val="0"/>
                      <w:bCs w:val="0"/>
                      <w:sz w:val="21"/>
                      <w:szCs w:val="21"/>
                      <w:lang w:eastAsia="zh-CN"/>
                    </w:rPr>
                  </w:pPr>
                  <w:r>
                    <w:rPr>
                      <w:rFonts w:hint="eastAsia" w:cs="Times New Roman"/>
                      <w:b w:val="0"/>
                      <w:bCs w:val="0"/>
                      <w:sz w:val="21"/>
                      <w:szCs w:val="21"/>
                      <w:lang w:eastAsia="zh-CN"/>
                    </w:rPr>
                    <w:t>标准名称</w:t>
                  </w:r>
                </w:p>
              </w:tc>
            </w:tr>
            <w:tr w14:paraId="7E00E3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7" w:type="pct"/>
                  <w:vMerge w:val="restart"/>
                  <w:tcBorders>
                    <w:tl2br w:val="nil"/>
                    <w:tr2bl w:val="nil"/>
                  </w:tcBorders>
                  <w:noWrap w:val="0"/>
                  <w:vAlign w:val="center"/>
                </w:tcPr>
                <w:p w14:paraId="0B3F5A0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NMHC</w:t>
                  </w:r>
                </w:p>
              </w:tc>
              <w:tc>
                <w:tcPr>
                  <w:tcW w:w="521" w:type="pct"/>
                  <w:tcBorders>
                    <w:tl2br w:val="nil"/>
                    <w:tr2bl w:val="nil"/>
                  </w:tcBorders>
                  <w:noWrap w:val="0"/>
                  <w:vAlign w:val="center"/>
                </w:tcPr>
                <w:p w14:paraId="25C481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cs="Times New Roman"/>
                      <w:b w:val="0"/>
                      <w:bCs w:val="0"/>
                      <w:sz w:val="21"/>
                      <w:szCs w:val="21"/>
                      <w:lang w:eastAsia="zh-CN"/>
                    </w:rPr>
                  </w:pPr>
                  <w:r>
                    <w:rPr>
                      <w:rFonts w:hint="eastAsia" w:cs="Times New Roman"/>
                      <w:b w:val="0"/>
                      <w:bCs w:val="0"/>
                      <w:sz w:val="21"/>
                      <w:szCs w:val="21"/>
                      <w:lang w:val="en-US" w:eastAsia="zh-CN"/>
                    </w:rPr>
                    <w:t>5</w:t>
                  </w:r>
                </w:p>
              </w:tc>
              <w:tc>
                <w:tcPr>
                  <w:tcW w:w="1424" w:type="pct"/>
                  <w:tcBorders>
                    <w:tl2br w:val="nil"/>
                    <w:tr2bl w:val="nil"/>
                  </w:tcBorders>
                  <w:noWrap w:val="0"/>
                  <w:vAlign w:val="center"/>
                </w:tcPr>
                <w:p w14:paraId="6CB87F8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监控点处1h平均浓度值</w:t>
                  </w:r>
                </w:p>
              </w:tc>
              <w:tc>
                <w:tcPr>
                  <w:tcW w:w="730" w:type="pct"/>
                  <w:vMerge w:val="restart"/>
                  <w:tcBorders>
                    <w:tl2br w:val="nil"/>
                    <w:tr2bl w:val="nil"/>
                  </w:tcBorders>
                  <w:noWrap w:val="0"/>
                  <w:vAlign w:val="center"/>
                </w:tcPr>
                <w:p w14:paraId="50A9E91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在厂房外设置监控点</w:t>
                  </w:r>
                </w:p>
              </w:tc>
              <w:tc>
                <w:tcPr>
                  <w:tcW w:w="1706" w:type="pct"/>
                  <w:vMerge w:val="restart"/>
                  <w:tcBorders>
                    <w:tl2br w:val="nil"/>
                    <w:tr2bl w:val="nil"/>
                  </w:tcBorders>
                  <w:noWrap w:val="0"/>
                  <w:vAlign w:val="center"/>
                </w:tcPr>
                <w:p w14:paraId="74B2262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《玻璃工业大气污染物排放标准》（GB26453-2022）表B.1</w:t>
                  </w:r>
                </w:p>
              </w:tc>
            </w:tr>
            <w:tr w14:paraId="2EB57E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7" w:type="pct"/>
                  <w:vMerge w:val="continue"/>
                  <w:tcBorders>
                    <w:tl2br w:val="nil"/>
                    <w:tr2bl w:val="nil"/>
                  </w:tcBorders>
                  <w:noWrap w:val="0"/>
                  <w:vAlign w:val="center"/>
                </w:tcPr>
                <w:p w14:paraId="7D9E942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p>
              </w:tc>
              <w:tc>
                <w:tcPr>
                  <w:tcW w:w="521" w:type="pct"/>
                  <w:tcBorders>
                    <w:tl2br w:val="nil"/>
                    <w:tr2bl w:val="nil"/>
                  </w:tcBorders>
                  <w:noWrap w:val="0"/>
                  <w:vAlign w:val="center"/>
                </w:tcPr>
                <w:p w14:paraId="26DEFE5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15</w:t>
                  </w:r>
                </w:p>
              </w:tc>
              <w:tc>
                <w:tcPr>
                  <w:tcW w:w="1424" w:type="pct"/>
                  <w:tcBorders>
                    <w:tl2br w:val="nil"/>
                    <w:tr2bl w:val="nil"/>
                  </w:tcBorders>
                  <w:noWrap w:val="0"/>
                  <w:vAlign w:val="center"/>
                </w:tcPr>
                <w:p w14:paraId="0C90C8C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r>
                    <w:rPr>
                      <w:rFonts w:hint="default" w:ascii="Times New Roman" w:hAnsi="Times New Roman" w:eastAsia="宋体" w:cs="Times New Roman"/>
                      <w:b w:val="0"/>
                      <w:bCs w:val="0"/>
                      <w:sz w:val="21"/>
                      <w:szCs w:val="21"/>
                    </w:rPr>
                    <w:t>监控点处任意一次浓度值</w:t>
                  </w:r>
                </w:p>
              </w:tc>
              <w:tc>
                <w:tcPr>
                  <w:tcW w:w="730" w:type="pct"/>
                  <w:vMerge w:val="continue"/>
                  <w:tcBorders>
                    <w:tl2br w:val="nil"/>
                    <w:tr2bl w:val="nil"/>
                  </w:tcBorders>
                  <w:noWrap w:val="0"/>
                  <w:vAlign w:val="center"/>
                </w:tcPr>
                <w:p w14:paraId="4256F36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rPr>
                  </w:pPr>
                </w:p>
              </w:tc>
              <w:tc>
                <w:tcPr>
                  <w:tcW w:w="1706" w:type="pct"/>
                  <w:vMerge w:val="continue"/>
                  <w:tcBorders>
                    <w:tl2br w:val="nil"/>
                    <w:tr2bl w:val="nil"/>
                  </w:tcBorders>
                  <w:noWrap w:val="0"/>
                  <w:vAlign w:val="center"/>
                </w:tcPr>
                <w:p w14:paraId="61D99FD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rPr>
                  </w:pPr>
                </w:p>
              </w:tc>
            </w:tr>
            <w:tr w14:paraId="47260B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7" w:type="pct"/>
                  <w:vMerge w:val="continue"/>
                  <w:tcBorders>
                    <w:tl2br w:val="nil"/>
                    <w:tr2bl w:val="nil"/>
                  </w:tcBorders>
                  <w:noWrap w:val="0"/>
                  <w:vAlign w:val="center"/>
                </w:tcPr>
                <w:p w14:paraId="51E428C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cs="Times New Roman"/>
                      <w:b w:val="0"/>
                      <w:bCs w:val="0"/>
                      <w:sz w:val="21"/>
                      <w:szCs w:val="21"/>
                    </w:rPr>
                  </w:pPr>
                </w:p>
              </w:tc>
              <w:tc>
                <w:tcPr>
                  <w:tcW w:w="521" w:type="pct"/>
                  <w:tcBorders>
                    <w:tl2br w:val="nil"/>
                    <w:tr2bl w:val="nil"/>
                  </w:tcBorders>
                  <w:noWrap w:val="0"/>
                  <w:vAlign w:val="center"/>
                </w:tcPr>
                <w:p w14:paraId="6014EBA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cs="Times New Roman"/>
                      <w:b w:val="0"/>
                      <w:bCs w:val="0"/>
                      <w:sz w:val="21"/>
                      <w:szCs w:val="21"/>
                      <w:lang w:val="en-US" w:eastAsia="zh-CN"/>
                    </w:rPr>
                  </w:pPr>
                  <w:r>
                    <w:rPr>
                      <w:rFonts w:hint="eastAsia" w:cs="Times New Roman"/>
                      <w:b w:val="0"/>
                      <w:bCs w:val="0"/>
                      <w:sz w:val="21"/>
                      <w:szCs w:val="21"/>
                      <w:lang w:val="en-US" w:eastAsia="zh-CN"/>
                    </w:rPr>
                    <w:t>4</w:t>
                  </w:r>
                </w:p>
              </w:tc>
              <w:tc>
                <w:tcPr>
                  <w:tcW w:w="1424" w:type="pct"/>
                  <w:tcBorders>
                    <w:tl2br w:val="nil"/>
                    <w:tr2bl w:val="nil"/>
                  </w:tcBorders>
                  <w:noWrap w:val="0"/>
                  <w:vAlign w:val="center"/>
                </w:tcPr>
                <w:p w14:paraId="2EC86FC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 边界外浓度最高点</w:t>
                  </w:r>
                </w:p>
              </w:tc>
              <w:tc>
                <w:tcPr>
                  <w:tcW w:w="730" w:type="pct"/>
                  <w:tcBorders>
                    <w:tl2br w:val="nil"/>
                    <w:tr2bl w:val="nil"/>
                  </w:tcBorders>
                  <w:noWrap w:val="0"/>
                  <w:vAlign w:val="center"/>
                </w:tcPr>
                <w:p w14:paraId="35CA129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厂界</w:t>
                  </w:r>
                </w:p>
              </w:tc>
              <w:tc>
                <w:tcPr>
                  <w:tcW w:w="1706" w:type="pct"/>
                  <w:tcBorders>
                    <w:tl2br w:val="nil"/>
                    <w:tr2bl w:val="nil"/>
                  </w:tcBorders>
                  <w:noWrap w:val="0"/>
                  <w:vAlign w:val="center"/>
                </w:tcPr>
                <w:p w14:paraId="72DF76E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ind w:left="0" w:right="0"/>
                    <w:jc w:val="center"/>
                    <w:textAlignment w:val="auto"/>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《大气污染物综合排放标准》（GB16297-1996）表2</w:t>
                  </w:r>
                </w:p>
              </w:tc>
            </w:tr>
          </w:tbl>
          <w:p w14:paraId="18348F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sz w:val="24"/>
                <w:szCs w:val="24"/>
              </w:rPr>
              <w:t>2、废水</w:t>
            </w:r>
          </w:p>
          <w:p w14:paraId="3C54F4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Times New Roman" w:hAnsi="Times New Roman"/>
                <w:sz w:val="24"/>
                <w:highlight w:val="none"/>
              </w:rPr>
            </w:pPr>
            <w:r>
              <w:rPr>
                <w:rFonts w:hint="default" w:ascii="Times New Roman" w:hAnsi="Times New Roman"/>
                <w:sz w:val="24"/>
                <w:szCs w:val="24"/>
              </w:rPr>
              <w:t>项目废</w:t>
            </w:r>
            <w:r>
              <w:rPr>
                <w:rFonts w:hint="default" w:ascii="Times New Roman" w:hAnsi="Times New Roman"/>
                <w:sz w:val="24"/>
                <w:szCs w:val="24"/>
                <w:highlight w:val="none"/>
              </w:rPr>
              <w:t>水</w:t>
            </w:r>
            <w:r>
              <w:rPr>
                <w:rFonts w:hint="eastAsia" w:ascii="Times New Roman" w:hAnsi="Times New Roman"/>
                <w:sz w:val="24"/>
                <w:szCs w:val="24"/>
                <w:highlight w:val="none"/>
              </w:rPr>
              <w:t>为</w:t>
            </w:r>
            <w:r>
              <w:rPr>
                <w:rFonts w:hint="eastAsia"/>
                <w:sz w:val="24"/>
                <w:szCs w:val="24"/>
                <w:highlight w:val="none"/>
                <w:lang w:eastAsia="zh-CN"/>
              </w:rPr>
              <w:t>打磨废水、清洗废水和生活污水。打磨废水、清洗废水</w:t>
            </w:r>
            <w:r>
              <w:rPr>
                <w:rFonts w:hint="eastAsia"/>
                <w:sz w:val="24"/>
                <w:szCs w:val="24"/>
                <w:highlight w:val="none"/>
                <w:lang w:val="en-US" w:eastAsia="zh-CN"/>
              </w:rPr>
              <w:t>经沉淀压滤</w:t>
            </w:r>
            <w:r>
              <w:rPr>
                <w:rFonts w:hint="eastAsia"/>
                <w:sz w:val="24"/>
                <w:szCs w:val="24"/>
                <w:highlight w:val="none"/>
                <w:lang w:eastAsia="zh-CN"/>
              </w:rPr>
              <w:t>处理后循环使用，</w:t>
            </w:r>
            <w:r>
              <w:rPr>
                <w:rFonts w:hint="eastAsia"/>
                <w:sz w:val="24"/>
                <w:szCs w:val="24"/>
                <w:highlight w:val="none"/>
                <w:lang w:val="en-US" w:eastAsia="zh-CN"/>
              </w:rPr>
              <w:t>不外排，回用水质满足《城市污水再生利用 工业用水水质》（GB/T19923-2024）</w:t>
            </w:r>
            <w:r>
              <w:rPr>
                <w:rFonts w:hint="eastAsia"/>
                <w:sz w:val="24"/>
                <w:szCs w:val="24"/>
                <w:highlight w:val="none"/>
                <w:lang w:eastAsia="zh-CN"/>
              </w:rPr>
              <w:t>；</w:t>
            </w:r>
            <w:r>
              <w:rPr>
                <w:rFonts w:hint="eastAsia"/>
                <w:color w:val="auto"/>
                <w:sz w:val="24"/>
                <w:highlight w:val="none"/>
                <w:lang w:val="en-US" w:eastAsia="zh-CN"/>
              </w:rPr>
              <w:t>生活污水</w:t>
            </w:r>
            <w:r>
              <w:rPr>
                <w:rFonts w:ascii="Times New Roman" w:hAnsi="Times New Roman"/>
                <w:color w:val="auto"/>
                <w:sz w:val="24"/>
                <w:highlight w:val="none"/>
              </w:rPr>
              <w:t>排放执行《</w:t>
            </w:r>
            <w:r>
              <w:rPr>
                <w:rFonts w:hint="eastAsia"/>
                <w:color w:val="auto"/>
                <w:sz w:val="24"/>
                <w:highlight w:val="none"/>
                <w:lang w:eastAsia="zh-CN"/>
              </w:rPr>
              <w:t>辽宁省</w:t>
            </w:r>
            <w:r>
              <w:rPr>
                <w:rFonts w:ascii="Times New Roman" w:hAnsi="Times New Roman"/>
                <w:color w:val="auto"/>
                <w:sz w:val="24"/>
                <w:highlight w:val="none"/>
              </w:rPr>
              <w:t>污水综合排放标准》（</w:t>
            </w:r>
            <w:r>
              <w:rPr>
                <w:rFonts w:hint="eastAsia"/>
                <w:color w:val="auto"/>
                <w:sz w:val="24"/>
                <w:highlight w:val="none"/>
                <w:lang w:val="en-US" w:eastAsia="zh-CN"/>
              </w:rPr>
              <w:t>DB21/1267-2008</w:t>
            </w:r>
            <w:r>
              <w:rPr>
                <w:rFonts w:ascii="Times New Roman" w:hAnsi="Times New Roman"/>
                <w:color w:val="auto"/>
                <w:sz w:val="24"/>
                <w:highlight w:val="none"/>
              </w:rPr>
              <w:t>）表</w:t>
            </w:r>
            <w:r>
              <w:rPr>
                <w:rFonts w:hint="eastAsia"/>
                <w:color w:val="auto"/>
                <w:sz w:val="24"/>
                <w:highlight w:val="none"/>
                <w:lang w:val="en-US" w:eastAsia="zh-CN"/>
              </w:rPr>
              <w:t>2排入污水处理厂污染物最高允许排放浓度以及调兵山城市污水处理厂接管标准对比取较严格限值。</w:t>
            </w:r>
            <w:r>
              <w:rPr>
                <w:rFonts w:ascii="Times New Roman" w:hAnsi="Times New Roman"/>
                <w:sz w:val="24"/>
                <w:highlight w:val="none"/>
              </w:rPr>
              <w:t>见</w:t>
            </w:r>
            <w:r>
              <w:rPr>
                <w:rFonts w:hint="eastAsia" w:ascii="Times New Roman" w:hAnsi="Times New Roman"/>
                <w:sz w:val="24"/>
                <w:highlight w:val="none"/>
                <w:lang w:val="en-US" w:eastAsia="zh-CN"/>
              </w:rPr>
              <w:t>下</w:t>
            </w:r>
            <w:r>
              <w:rPr>
                <w:rFonts w:ascii="Times New Roman" w:hAnsi="Times New Roman"/>
                <w:sz w:val="24"/>
                <w:highlight w:val="none"/>
              </w:rPr>
              <w:t>表。</w:t>
            </w:r>
          </w:p>
          <w:p w14:paraId="27C9316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Times New Roman" w:hAnsi="Times New Roman"/>
                <w:b/>
                <w:bCs/>
                <w:sz w:val="21"/>
                <w:szCs w:val="21"/>
              </w:rPr>
            </w:pPr>
            <w:r>
              <w:rPr>
                <w:rFonts w:ascii="Times New Roman" w:hAnsi="Times New Roman"/>
                <w:b/>
                <w:bCs/>
                <w:sz w:val="21"/>
                <w:szCs w:val="21"/>
                <w:highlight w:val="none"/>
              </w:rPr>
              <w:t>表</w:t>
            </w:r>
            <w:r>
              <w:rPr>
                <w:rFonts w:hint="eastAsia" w:ascii="Times New Roman" w:hAnsi="Times New Roman"/>
                <w:b/>
                <w:bCs/>
                <w:sz w:val="21"/>
                <w:szCs w:val="21"/>
                <w:highlight w:val="none"/>
                <w:lang w:val="en-US" w:eastAsia="zh-CN"/>
              </w:rPr>
              <w:t>3-</w:t>
            </w:r>
            <w:r>
              <w:rPr>
                <w:rFonts w:hint="eastAsia"/>
                <w:b/>
                <w:bCs/>
                <w:sz w:val="21"/>
                <w:szCs w:val="21"/>
                <w:highlight w:val="none"/>
                <w:lang w:val="en-US" w:eastAsia="zh-CN"/>
              </w:rPr>
              <w:t>6</w:t>
            </w:r>
            <w:r>
              <w:rPr>
                <w:rFonts w:ascii="Times New Roman" w:hAnsi="Times New Roman"/>
                <w:b/>
                <w:bCs/>
                <w:sz w:val="21"/>
                <w:szCs w:val="21"/>
                <w:highlight w:val="none"/>
              </w:rPr>
              <w:t xml:space="preserve">  </w:t>
            </w:r>
            <w:r>
              <w:rPr>
                <w:rFonts w:hint="eastAsia"/>
                <w:b/>
                <w:bCs/>
                <w:sz w:val="21"/>
                <w:szCs w:val="21"/>
                <w:highlight w:val="none"/>
                <w:lang w:eastAsia="zh-CN"/>
              </w:rPr>
              <w:t>回用</w:t>
            </w:r>
            <w:r>
              <w:rPr>
                <w:rFonts w:ascii="Times New Roman" w:hAnsi="Times New Roman"/>
                <w:b/>
                <w:bCs/>
                <w:color w:val="auto"/>
                <w:sz w:val="21"/>
                <w:szCs w:val="21"/>
                <w:highlight w:val="none"/>
                <w:lang w:bidi="ar"/>
              </w:rPr>
              <w:t>水污染</w:t>
            </w:r>
            <w:r>
              <w:rPr>
                <w:rFonts w:ascii="Times New Roman" w:hAnsi="Times New Roman"/>
                <w:b/>
                <w:bCs/>
                <w:color w:val="auto"/>
                <w:sz w:val="21"/>
                <w:szCs w:val="21"/>
                <w:lang w:bidi="ar"/>
              </w:rPr>
              <w:t>排放标准限值</w:t>
            </w:r>
            <w:r>
              <w:rPr>
                <w:rFonts w:ascii="Times New Roman" w:hAnsi="Times New Roman"/>
                <w:b/>
                <w:bCs/>
                <w:sz w:val="21"/>
                <w:szCs w:val="21"/>
              </w:rPr>
              <w:t xml:space="preserve"> </w:t>
            </w:r>
            <w:r>
              <w:rPr>
                <w:rFonts w:hint="eastAsia"/>
                <w:b/>
                <w:bCs/>
                <w:sz w:val="21"/>
                <w:szCs w:val="21"/>
                <w:lang w:val="en-US" w:eastAsia="zh-CN"/>
              </w:rPr>
              <w:t xml:space="preserve">          </w:t>
            </w:r>
            <w:r>
              <w:rPr>
                <w:rFonts w:ascii="Times New Roman" w:hAnsi="Times New Roman"/>
                <w:b/>
                <w:bCs/>
                <w:sz w:val="21"/>
                <w:szCs w:val="21"/>
              </w:rPr>
              <w:t xml:space="preserve">  单位：mg/L，pH除外</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276"/>
              <w:gridCol w:w="1557"/>
              <w:gridCol w:w="1570"/>
            </w:tblGrid>
            <w:tr w14:paraId="53C19E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138" w:type="pct"/>
                  <w:tcBorders>
                    <w:tl2br w:val="nil"/>
                    <w:tr2bl w:val="nil"/>
                  </w:tcBorders>
                  <w:noWrap w:val="0"/>
                  <w:vAlign w:val="center"/>
                </w:tcPr>
                <w:p w14:paraId="7D2BA6EC">
                  <w:pPr>
                    <w:jc w:val="center"/>
                    <w:rPr>
                      <w:rFonts w:ascii="Times New Roman" w:hAnsi="Times New Roman"/>
                      <w:b w:val="0"/>
                      <w:bCs/>
                      <w:color w:val="auto"/>
                      <w:szCs w:val="21"/>
                    </w:rPr>
                  </w:pPr>
                  <w:r>
                    <w:rPr>
                      <w:rFonts w:ascii="Times New Roman" w:hAnsi="Times New Roman"/>
                      <w:b w:val="0"/>
                      <w:bCs/>
                      <w:color w:val="auto"/>
                      <w:szCs w:val="21"/>
                      <w:lang w:bidi="ar"/>
                    </w:rPr>
                    <w:t>项 目</w:t>
                  </w:r>
                </w:p>
              </w:tc>
              <w:tc>
                <w:tcPr>
                  <w:tcW w:w="926" w:type="pct"/>
                  <w:tcBorders>
                    <w:tl2br w:val="nil"/>
                    <w:tr2bl w:val="nil"/>
                  </w:tcBorders>
                  <w:noWrap w:val="0"/>
                  <w:vAlign w:val="center"/>
                </w:tcPr>
                <w:p w14:paraId="314FA048">
                  <w:pPr>
                    <w:jc w:val="center"/>
                    <w:rPr>
                      <w:rFonts w:hint="default" w:ascii="Times New Roman" w:hAnsi="Times New Roman" w:eastAsia="宋体"/>
                      <w:b w:val="0"/>
                      <w:bCs/>
                      <w:color w:val="auto"/>
                      <w:szCs w:val="21"/>
                      <w:lang w:val="en-US" w:eastAsia="zh-CN" w:bidi="ar"/>
                    </w:rPr>
                  </w:pPr>
                  <w:r>
                    <w:rPr>
                      <w:rFonts w:hint="eastAsia"/>
                      <w:b w:val="0"/>
                      <w:bCs/>
                      <w:color w:val="auto"/>
                      <w:szCs w:val="21"/>
                      <w:lang w:val="en-US" w:eastAsia="zh-CN" w:bidi="ar"/>
                    </w:rPr>
                    <w:t>pH</w:t>
                  </w:r>
                </w:p>
              </w:tc>
              <w:tc>
                <w:tcPr>
                  <w:tcW w:w="934" w:type="pct"/>
                  <w:tcBorders>
                    <w:tl2br w:val="nil"/>
                    <w:tr2bl w:val="nil"/>
                  </w:tcBorders>
                  <w:noWrap w:val="0"/>
                  <w:vAlign w:val="center"/>
                </w:tcPr>
                <w:p w14:paraId="3B78C738">
                  <w:pPr>
                    <w:jc w:val="center"/>
                    <w:rPr>
                      <w:rFonts w:ascii="Times New Roman" w:hAnsi="Times New Roman"/>
                      <w:b w:val="0"/>
                      <w:bCs/>
                      <w:color w:val="auto"/>
                      <w:szCs w:val="21"/>
                      <w:lang w:bidi="ar"/>
                    </w:rPr>
                  </w:pPr>
                  <w:r>
                    <w:rPr>
                      <w:rFonts w:ascii="Times New Roman" w:hAnsi="Times New Roman"/>
                      <w:b w:val="0"/>
                      <w:bCs/>
                      <w:color w:val="auto"/>
                      <w:szCs w:val="21"/>
                      <w:lang w:bidi="ar"/>
                    </w:rPr>
                    <w:t>COD</w:t>
                  </w:r>
                </w:p>
              </w:tc>
            </w:tr>
            <w:tr w14:paraId="3E330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3138" w:type="pct"/>
                  <w:tcBorders>
                    <w:tl2br w:val="nil"/>
                    <w:tr2bl w:val="nil"/>
                  </w:tcBorders>
                  <w:noWrap w:val="0"/>
                  <w:vAlign w:val="center"/>
                </w:tcPr>
                <w:p w14:paraId="19155378">
                  <w:pPr>
                    <w:jc w:val="center"/>
                    <w:rPr>
                      <w:rFonts w:ascii="Times New Roman" w:hAnsi="Times New Roman"/>
                      <w:b w:val="0"/>
                      <w:bCs/>
                      <w:color w:val="auto"/>
                      <w:szCs w:val="21"/>
                    </w:rPr>
                  </w:pPr>
                  <w:r>
                    <w:rPr>
                      <w:rFonts w:hint="eastAsia"/>
                      <w:b w:val="0"/>
                      <w:bCs/>
                      <w:color w:val="auto"/>
                      <w:szCs w:val="21"/>
                      <w:lang w:val="en-US" w:eastAsia="zh-CN" w:bidi="ar"/>
                    </w:rPr>
                    <w:t>《城市污水再生利用 工业用水水质》（GB/T19923-2024）洗涤用水</w:t>
                  </w:r>
                </w:p>
              </w:tc>
              <w:tc>
                <w:tcPr>
                  <w:tcW w:w="926" w:type="pct"/>
                  <w:tcBorders>
                    <w:tl2br w:val="nil"/>
                    <w:tr2bl w:val="nil"/>
                  </w:tcBorders>
                  <w:noWrap w:val="0"/>
                  <w:vAlign w:val="center"/>
                </w:tcPr>
                <w:p w14:paraId="420FBBBE">
                  <w:pPr>
                    <w:jc w:val="center"/>
                    <w:rPr>
                      <w:rFonts w:hint="default"/>
                      <w:b w:val="0"/>
                      <w:bCs/>
                      <w:color w:val="auto"/>
                      <w:szCs w:val="21"/>
                      <w:lang w:val="en-US" w:eastAsia="zh-CN" w:bidi="ar"/>
                    </w:rPr>
                  </w:pPr>
                  <w:r>
                    <w:rPr>
                      <w:rFonts w:hint="eastAsia"/>
                      <w:b w:val="0"/>
                      <w:bCs/>
                      <w:color w:val="auto"/>
                      <w:szCs w:val="21"/>
                      <w:lang w:val="en-US" w:eastAsia="zh-CN" w:bidi="ar"/>
                    </w:rPr>
                    <w:t>6~9</w:t>
                  </w:r>
                </w:p>
              </w:tc>
              <w:tc>
                <w:tcPr>
                  <w:tcW w:w="934" w:type="pct"/>
                  <w:tcBorders>
                    <w:tl2br w:val="nil"/>
                    <w:tr2bl w:val="nil"/>
                  </w:tcBorders>
                  <w:noWrap w:val="0"/>
                  <w:vAlign w:val="center"/>
                </w:tcPr>
                <w:p w14:paraId="4FDEF049">
                  <w:pPr>
                    <w:jc w:val="center"/>
                    <w:rPr>
                      <w:rFonts w:hint="default" w:ascii="Times New Roman" w:hAnsi="Times New Roman" w:eastAsia="宋体"/>
                      <w:b w:val="0"/>
                      <w:bCs/>
                      <w:color w:val="auto"/>
                      <w:szCs w:val="21"/>
                      <w:lang w:val="en-US" w:eastAsia="zh-CN" w:bidi="ar"/>
                    </w:rPr>
                  </w:pPr>
                  <w:r>
                    <w:rPr>
                      <w:rFonts w:hint="eastAsia"/>
                      <w:b w:val="0"/>
                      <w:bCs/>
                      <w:color w:val="auto"/>
                      <w:szCs w:val="21"/>
                      <w:lang w:val="en-US" w:eastAsia="zh-CN" w:bidi="ar"/>
                    </w:rPr>
                    <w:t>50</w:t>
                  </w:r>
                </w:p>
              </w:tc>
            </w:tr>
          </w:tbl>
          <w:p w14:paraId="153124A4">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Times New Roman" w:hAnsi="Times New Roman"/>
                <w:b/>
                <w:bCs/>
                <w:sz w:val="21"/>
                <w:szCs w:val="21"/>
              </w:rPr>
            </w:pPr>
            <w:r>
              <w:rPr>
                <w:rFonts w:ascii="Times New Roman" w:hAnsi="Times New Roman"/>
                <w:b/>
                <w:bCs/>
                <w:sz w:val="21"/>
                <w:szCs w:val="21"/>
                <w:highlight w:val="none"/>
              </w:rPr>
              <w:t>表</w:t>
            </w:r>
            <w:r>
              <w:rPr>
                <w:rFonts w:hint="eastAsia" w:ascii="Times New Roman" w:hAnsi="Times New Roman"/>
                <w:b/>
                <w:bCs/>
                <w:sz w:val="21"/>
                <w:szCs w:val="21"/>
                <w:highlight w:val="none"/>
                <w:lang w:val="en-US" w:eastAsia="zh-CN"/>
              </w:rPr>
              <w:t>3-</w:t>
            </w:r>
            <w:r>
              <w:rPr>
                <w:rFonts w:hint="eastAsia"/>
                <w:b/>
                <w:bCs/>
                <w:sz w:val="21"/>
                <w:szCs w:val="21"/>
                <w:highlight w:val="none"/>
                <w:lang w:val="en-US" w:eastAsia="zh-CN"/>
              </w:rPr>
              <w:t>7</w:t>
            </w:r>
            <w:r>
              <w:rPr>
                <w:rFonts w:ascii="Times New Roman" w:hAnsi="Times New Roman"/>
                <w:b/>
                <w:bCs/>
                <w:sz w:val="21"/>
                <w:szCs w:val="21"/>
                <w:highlight w:val="none"/>
              </w:rPr>
              <w:t xml:space="preserve">  </w:t>
            </w:r>
            <w:r>
              <w:rPr>
                <w:rFonts w:ascii="Times New Roman" w:hAnsi="Times New Roman"/>
                <w:b/>
                <w:bCs/>
                <w:color w:val="auto"/>
                <w:sz w:val="21"/>
                <w:szCs w:val="21"/>
                <w:highlight w:val="none"/>
                <w:lang w:bidi="ar"/>
              </w:rPr>
              <w:t>水污染</w:t>
            </w:r>
            <w:r>
              <w:rPr>
                <w:rFonts w:ascii="Times New Roman" w:hAnsi="Times New Roman"/>
                <w:b/>
                <w:bCs/>
                <w:color w:val="auto"/>
                <w:sz w:val="21"/>
                <w:szCs w:val="21"/>
                <w:lang w:bidi="ar"/>
              </w:rPr>
              <w:t>排放标准限值</w:t>
            </w:r>
            <w:r>
              <w:rPr>
                <w:rFonts w:ascii="Times New Roman" w:hAnsi="Times New Roman"/>
                <w:b/>
                <w:bCs/>
                <w:sz w:val="21"/>
                <w:szCs w:val="21"/>
              </w:rPr>
              <w:t xml:space="preserve"> </w:t>
            </w:r>
            <w:r>
              <w:rPr>
                <w:rFonts w:hint="eastAsia"/>
                <w:b/>
                <w:bCs/>
                <w:sz w:val="21"/>
                <w:szCs w:val="21"/>
                <w:lang w:val="en-US" w:eastAsia="zh-CN"/>
              </w:rPr>
              <w:t xml:space="preserve">          </w:t>
            </w:r>
            <w:r>
              <w:rPr>
                <w:rFonts w:ascii="Times New Roman" w:hAnsi="Times New Roman"/>
                <w:b/>
                <w:bCs/>
                <w:sz w:val="21"/>
                <w:szCs w:val="21"/>
              </w:rPr>
              <w:t xml:space="preserve">  单位：mg/L，pH除外</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541"/>
              <w:gridCol w:w="1227"/>
              <w:gridCol w:w="1266"/>
              <w:gridCol w:w="1216"/>
              <w:gridCol w:w="1153"/>
            </w:tblGrid>
            <w:tr w14:paraId="3B76AF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106" w:type="pct"/>
                  <w:tcBorders>
                    <w:tl2br w:val="nil"/>
                    <w:tr2bl w:val="nil"/>
                  </w:tcBorders>
                  <w:noWrap w:val="0"/>
                  <w:vAlign w:val="center"/>
                </w:tcPr>
                <w:p w14:paraId="35F9AABC">
                  <w:pPr>
                    <w:jc w:val="center"/>
                    <w:rPr>
                      <w:rFonts w:ascii="Times New Roman" w:hAnsi="Times New Roman"/>
                      <w:b w:val="0"/>
                      <w:bCs/>
                      <w:color w:val="auto"/>
                      <w:sz w:val="21"/>
                      <w:szCs w:val="21"/>
                    </w:rPr>
                  </w:pPr>
                  <w:r>
                    <w:rPr>
                      <w:rFonts w:ascii="Times New Roman" w:hAnsi="Times New Roman"/>
                      <w:b w:val="0"/>
                      <w:bCs/>
                      <w:color w:val="auto"/>
                      <w:sz w:val="21"/>
                      <w:szCs w:val="21"/>
                      <w:lang w:bidi="ar"/>
                    </w:rPr>
                    <w:t>项 目</w:t>
                  </w:r>
                </w:p>
              </w:tc>
              <w:tc>
                <w:tcPr>
                  <w:tcW w:w="730" w:type="pct"/>
                  <w:tcBorders>
                    <w:tl2br w:val="nil"/>
                    <w:tr2bl w:val="nil"/>
                  </w:tcBorders>
                  <w:noWrap w:val="0"/>
                  <w:vAlign w:val="center"/>
                </w:tcPr>
                <w:p w14:paraId="4342B924">
                  <w:pPr>
                    <w:jc w:val="center"/>
                    <w:rPr>
                      <w:rFonts w:ascii="Times New Roman" w:hAnsi="Times New Roman"/>
                      <w:b w:val="0"/>
                      <w:bCs/>
                      <w:color w:val="auto"/>
                      <w:sz w:val="21"/>
                      <w:szCs w:val="21"/>
                      <w:lang w:bidi="ar"/>
                    </w:rPr>
                  </w:pPr>
                  <w:r>
                    <w:rPr>
                      <w:rFonts w:ascii="Times New Roman" w:hAnsi="Times New Roman"/>
                      <w:b w:val="0"/>
                      <w:bCs/>
                      <w:color w:val="auto"/>
                      <w:sz w:val="21"/>
                      <w:szCs w:val="21"/>
                      <w:lang w:bidi="ar"/>
                    </w:rPr>
                    <w:t>COD</w:t>
                  </w:r>
                </w:p>
              </w:tc>
              <w:tc>
                <w:tcPr>
                  <w:tcW w:w="753" w:type="pct"/>
                  <w:tcBorders>
                    <w:tl2br w:val="nil"/>
                    <w:tr2bl w:val="nil"/>
                  </w:tcBorders>
                  <w:noWrap w:val="0"/>
                  <w:vAlign w:val="center"/>
                </w:tcPr>
                <w:p w14:paraId="65CF1A9D">
                  <w:pPr>
                    <w:jc w:val="center"/>
                    <w:rPr>
                      <w:rFonts w:ascii="Times New Roman" w:hAnsi="Times New Roman"/>
                      <w:b w:val="0"/>
                      <w:bCs/>
                      <w:color w:val="auto"/>
                      <w:sz w:val="21"/>
                      <w:szCs w:val="21"/>
                      <w:lang w:bidi="ar"/>
                    </w:rPr>
                  </w:pPr>
                  <w:r>
                    <w:rPr>
                      <w:rFonts w:ascii="Times New Roman" w:hAnsi="Times New Roman"/>
                      <w:b w:val="0"/>
                      <w:bCs/>
                      <w:color w:val="auto"/>
                      <w:sz w:val="21"/>
                      <w:szCs w:val="21"/>
                      <w:lang w:bidi="ar"/>
                    </w:rPr>
                    <w:t>SS</w:t>
                  </w:r>
                </w:p>
              </w:tc>
              <w:tc>
                <w:tcPr>
                  <w:tcW w:w="723" w:type="pct"/>
                  <w:tcBorders>
                    <w:tl2br w:val="nil"/>
                    <w:tr2bl w:val="nil"/>
                  </w:tcBorders>
                  <w:noWrap w:val="0"/>
                  <w:vAlign w:val="center"/>
                </w:tcPr>
                <w:p w14:paraId="73D7FED6">
                  <w:pPr>
                    <w:jc w:val="center"/>
                    <w:rPr>
                      <w:rFonts w:ascii="Times New Roman" w:hAnsi="Times New Roman"/>
                      <w:b w:val="0"/>
                      <w:bCs/>
                      <w:color w:val="auto"/>
                      <w:sz w:val="21"/>
                      <w:szCs w:val="21"/>
                      <w:lang w:bidi="ar"/>
                    </w:rPr>
                  </w:pPr>
                  <w:r>
                    <w:rPr>
                      <w:rFonts w:ascii="Times New Roman" w:hAnsi="Times New Roman"/>
                      <w:b w:val="0"/>
                      <w:bCs/>
                      <w:color w:val="auto"/>
                      <w:sz w:val="21"/>
                      <w:szCs w:val="21"/>
                      <w:lang w:bidi="ar"/>
                    </w:rPr>
                    <w:t>NH</w:t>
                  </w:r>
                  <w:r>
                    <w:rPr>
                      <w:rFonts w:ascii="Times New Roman" w:hAnsi="Times New Roman"/>
                      <w:b w:val="0"/>
                      <w:bCs/>
                      <w:color w:val="auto"/>
                      <w:sz w:val="21"/>
                      <w:szCs w:val="21"/>
                      <w:vertAlign w:val="subscript"/>
                      <w:lang w:bidi="ar"/>
                    </w:rPr>
                    <w:t>3</w:t>
                  </w:r>
                  <w:r>
                    <w:rPr>
                      <w:rFonts w:ascii="Times New Roman" w:hAnsi="Times New Roman"/>
                      <w:b w:val="0"/>
                      <w:bCs/>
                      <w:color w:val="auto"/>
                      <w:sz w:val="21"/>
                      <w:szCs w:val="21"/>
                      <w:lang w:bidi="ar"/>
                    </w:rPr>
                    <w:t>-N</w:t>
                  </w:r>
                </w:p>
              </w:tc>
              <w:tc>
                <w:tcPr>
                  <w:tcW w:w="686" w:type="pct"/>
                  <w:tcBorders>
                    <w:tl2br w:val="nil"/>
                    <w:tr2bl w:val="nil"/>
                  </w:tcBorders>
                  <w:noWrap w:val="0"/>
                  <w:vAlign w:val="center"/>
                </w:tcPr>
                <w:p w14:paraId="74D6BD13">
                  <w:pPr>
                    <w:jc w:val="center"/>
                    <w:rPr>
                      <w:rFonts w:ascii="Times New Roman" w:hAnsi="Times New Roman"/>
                      <w:b w:val="0"/>
                      <w:bCs/>
                      <w:color w:val="auto"/>
                      <w:sz w:val="21"/>
                      <w:szCs w:val="21"/>
                      <w:lang w:bidi="ar"/>
                    </w:rPr>
                  </w:pPr>
                  <w:r>
                    <w:rPr>
                      <w:rFonts w:ascii="Times New Roman" w:hAnsi="Times New Roman"/>
                      <w:b w:val="0"/>
                      <w:bCs/>
                      <w:color w:val="auto"/>
                      <w:sz w:val="21"/>
                      <w:szCs w:val="21"/>
                      <w:lang w:bidi="ar"/>
                    </w:rPr>
                    <w:t>BOD</w:t>
                  </w:r>
                  <w:r>
                    <w:rPr>
                      <w:rFonts w:ascii="Times New Roman" w:hAnsi="Times New Roman"/>
                      <w:b w:val="0"/>
                      <w:bCs/>
                      <w:color w:val="auto"/>
                      <w:sz w:val="21"/>
                      <w:szCs w:val="21"/>
                      <w:vertAlign w:val="subscript"/>
                      <w:lang w:bidi="ar"/>
                    </w:rPr>
                    <w:t>5</w:t>
                  </w:r>
                </w:p>
              </w:tc>
            </w:tr>
            <w:tr w14:paraId="38425B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106" w:type="pct"/>
                  <w:tcBorders>
                    <w:tl2br w:val="nil"/>
                    <w:tr2bl w:val="nil"/>
                  </w:tcBorders>
                  <w:noWrap w:val="0"/>
                  <w:vAlign w:val="center"/>
                </w:tcPr>
                <w:p w14:paraId="4446D757">
                  <w:pPr>
                    <w:jc w:val="center"/>
                    <w:rPr>
                      <w:rFonts w:ascii="Times New Roman" w:hAnsi="Times New Roman"/>
                      <w:b w:val="0"/>
                      <w:bCs/>
                      <w:color w:val="auto"/>
                      <w:sz w:val="21"/>
                      <w:szCs w:val="21"/>
                    </w:rPr>
                  </w:pPr>
                  <w:r>
                    <w:rPr>
                      <w:rFonts w:hint="eastAsia" w:ascii="Times New Roman" w:hAnsi="Times New Roman"/>
                      <w:b w:val="0"/>
                      <w:bCs/>
                      <w:color w:val="auto"/>
                      <w:sz w:val="21"/>
                      <w:szCs w:val="21"/>
                    </w:rPr>
                    <w:t>《辽宁省污水综合排放标准》（DB21/1267-2008）表2</w:t>
                  </w:r>
                </w:p>
              </w:tc>
              <w:tc>
                <w:tcPr>
                  <w:tcW w:w="730" w:type="pct"/>
                  <w:tcBorders>
                    <w:tl2br w:val="nil"/>
                    <w:tr2bl w:val="nil"/>
                  </w:tcBorders>
                  <w:noWrap w:val="0"/>
                  <w:vAlign w:val="center"/>
                </w:tcPr>
                <w:p w14:paraId="7F27B52F">
                  <w:pPr>
                    <w:jc w:val="center"/>
                    <w:rPr>
                      <w:rFonts w:hint="default" w:ascii="Times New Roman" w:hAnsi="Times New Roman" w:eastAsia="宋体"/>
                      <w:b w:val="0"/>
                      <w:bCs/>
                      <w:color w:val="auto"/>
                      <w:sz w:val="21"/>
                      <w:szCs w:val="21"/>
                      <w:lang w:val="en-US" w:eastAsia="zh-CN" w:bidi="ar"/>
                    </w:rPr>
                  </w:pPr>
                  <w:r>
                    <w:rPr>
                      <w:rFonts w:hint="eastAsia"/>
                      <w:b w:val="0"/>
                      <w:bCs/>
                      <w:color w:val="auto"/>
                      <w:sz w:val="21"/>
                      <w:szCs w:val="21"/>
                      <w:lang w:val="en-US" w:eastAsia="zh-CN" w:bidi="ar"/>
                    </w:rPr>
                    <w:t>300</w:t>
                  </w:r>
                </w:p>
              </w:tc>
              <w:tc>
                <w:tcPr>
                  <w:tcW w:w="753" w:type="pct"/>
                  <w:tcBorders>
                    <w:tl2br w:val="nil"/>
                    <w:tr2bl w:val="nil"/>
                  </w:tcBorders>
                  <w:noWrap w:val="0"/>
                  <w:vAlign w:val="center"/>
                </w:tcPr>
                <w:p w14:paraId="7FC5BA15">
                  <w:pPr>
                    <w:jc w:val="center"/>
                    <w:rPr>
                      <w:rFonts w:hint="default" w:ascii="Times New Roman" w:hAnsi="Times New Roman" w:eastAsia="宋体"/>
                      <w:b w:val="0"/>
                      <w:bCs/>
                      <w:color w:val="auto"/>
                      <w:sz w:val="21"/>
                      <w:szCs w:val="21"/>
                      <w:lang w:val="en-US" w:eastAsia="zh-CN" w:bidi="ar"/>
                    </w:rPr>
                  </w:pPr>
                  <w:r>
                    <w:rPr>
                      <w:rFonts w:hint="eastAsia"/>
                      <w:b w:val="0"/>
                      <w:bCs/>
                      <w:color w:val="auto"/>
                      <w:sz w:val="21"/>
                      <w:szCs w:val="21"/>
                      <w:lang w:val="en-US" w:eastAsia="zh-CN" w:bidi="ar"/>
                    </w:rPr>
                    <w:t>300</w:t>
                  </w:r>
                </w:p>
              </w:tc>
              <w:tc>
                <w:tcPr>
                  <w:tcW w:w="723" w:type="pct"/>
                  <w:tcBorders>
                    <w:tl2br w:val="nil"/>
                    <w:tr2bl w:val="nil"/>
                  </w:tcBorders>
                  <w:noWrap w:val="0"/>
                  <w:vAlign w:val="center"/>
                </w:tcPr>
                <w:p w14:paraId="786637AB">
                  <w:pPr>
                    <w:jc w:val="center"/>
                    <w:rPr>
                      <w:rFonts w:hint="default" w:ascii="Times New Roman" w:hAnsi="Times New Roman" w:eastAsia="宋体"/>
                      <w:b w:val="0"/>
                      <w:bCs/>
                      <w:color w:val="auto"/>
                      <w:sz w:val="21"/>
                      <w:szCs w:val="21"/>
                      <w:lang w:val="en-US" w:eastAsia="zh-CN" w:bidi="ar"/>
                    </w:rPr>
                  </w:pPr>
                  <w:r>
                    <w:rPr>
                      <w:rFonts w:hint="eastAsia"/>
                      <w:b w:val="0"/>
                      <w:bCs/>
                      <w:color w:val="auto"/>
                      <w:sz w:val="21"/>
                      <w:szCs w:val="21"/>
                      <w:lang w:val="en-US" w:eastAsia="zh-CN" w:bidi="ar"/>
                    </w:rPr>
                    <w:t>30</w:t>
                  </w:r>
                </w:p>
              </w:tc>
              <w:tc>
                <w:tcPr>
                  <w:tcW w:w="686" w:type="pct"/>
                  <w:tcBorders>
                    <w:tl2br w:val="nil"/>
                    <w:tr2bl w:val="nil"/>
                  </w:tcBorders>
                  <w:noWrap w:val="0"/>
                  <w:vAlign w:val="center"/>
                </w:tcPr>
                <w:p w14:paraId="6A39204C">
                  <w:pPr>
                    <w:jc w:val="center"/>
                    <w:rPr>
                      <w:rFonts w:hint="default" w:ascii="Times New Roman" w:hAnsi="Times New Roman" w:eastAsia="宋体"/>
                      <w:b w:val="0"/>
                      <w:bCs/>
                      <w:color w:val="auto"/>
                      <w:sz w:val="21"/>
                      <w:szCs w:val="21"/>
                      <w:lang w:val="en-US" w:eastAsia="zh-CN" w:bidi="ar"/>
                    </w:rPr>
                  </w:pPr>
                  <w:r>
                    <w:rPr>
                      <w:rFonts w:hint="eastAsia"/>
                      <w:b w:val="0"/>
                      <w:bCs/>
                      <w:color w:val="auto"/>
                      <w:sz w:val="21"/>
                      <w:szCs w:val="21"/>
                      <w:lang w:val="en-US" w:eastAsia="zh-CN" w:bidi="ar"/>
                    </w:rPr>
                    <w:t>250</w:t>
                  </w:r>
                </w:p>
              </w:tc>
            </w:tr>
            <w:tr w14:paraId="0B3966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106" w:type="pct"/>
                  <w:tcBorders>
                    <w:tl2br w:val="nil"/>
                    <w:tr2bl w:val="nil"/>
                  </w:tcBorders>
                  <w:noWrap w:val="0"/>
                  <w:vAlign w:val="center"/>
                </w:tcPr>
                <w:p w14:paraId="355A794B">
                  <w:pPr>
                    <w:jc w:val="center"/>
                    <w:rPr>
                      <w:rFonts w:hint="eastAsia" w:ascii="Times New Roman" w:hAnsi="Times New Roman"/>
                      <w:b w:val="0"/>
                      <w:bCs/>
                      <w:color w:val="auto"/>
                      <w:sz w:val="21"/>
                      <w:szCs w:val="21"/>
                    </w:rPr>
                  </w:pPr>
                  <w:r>
                    <w:rPr>
                      <w:rFonts w:hint="eastAsia"/>
                      <w:color w:val="auto"/>
                      <w:sz w:val="21"/>
                      <w:szCs w:val="21"/>
                      <w:highlight w:val="none"/>
                      <w:lang w:val="en-US" w:eastAsia="zh-CN"/>
                    </w:rPr>
                    <w:t>调兵山城市污水处理厂接管标准</w:t>
                  </w:r>
                </w:p>
              </w:tc>
              <w:tc>
                <w:tcPr>
                  <w:tcW w:w="730" w:type="pct"/>
                  <w:tcBorders>
                    <w:tl2br w:val="nil"/>
                    <w:tr2bl w:val="nil"/>
                  </w:tcBorders>
                  <w:noWrap w:val="0"/>
                  <w:vAlign w:val="center"/>
                </w:tcPr>
                <w:p w14:paraId="1C68A3CA">
                  <w:pPr>
                    <w:jc w:val="center"/>
                    <w:rPr>
                      <w:rFonts w:hint="default"/>
                      <w:b w:val="0"/>
                      <w:bCs/>
                      <w:color w:val="auto"/>
                      <w:sz w:val="21"/>
                      <w:szCs w:val="21"/>
                      <w:lang w:val="en-US" w:eastAsia="zh-CN" w:bidi="ar"/>
                    </w:rPr>
                  </w:pPr>
                  <w:r>
                    <w:rPr>
                      <w:rFonts w:hint="eastAsia"/>
                      <w:b w:val="0"/>
                      <w:bCs/>
                      <w:color w:val="auto"/>
                      <w:sz w:val="21"/>
                      <w:szCs w:val="21"/>
                      <w:lang w:val="en-US" w:eastAsia="zh-CN" w:bidi="ar"/>
                    </w:rPr>
                    <w:t>480</w:t>
                  </w:r>
                </w:p>
              </w:tc>
              <w:tc>
                <w:tcPr>
                  <w:tcW w:w="753" w:type="pct"/>
                  <w:tcBorders>
                    <w:tl2br w:val="nil"/>
                    <w:tr2bl w:val="nil"/>
                  </w:tcBorders>
                  <w:noWrap w:val="0"/>
                  <w:vAlign w:val="center"/>
                </w:tcPr>
                <w:p w14:paraId="22C8A763">
                  <w:pPr>
                    <w:jc w:val="center"/>
                    <w:rPr>
                      <w:rFonts w:hint="default"/>
                      <w:b w:val="0"/>
                      <w:bCs/>
                      <w:color w:val="auto"/>
                      <w:sz w:val="21"/>
                      <w:szCs w:val="21"/>
                      <w:lang w:val="en-US" w:eastAsia="zh-CN" w:bidi="ar"/>
                    </w:rPr>
                  </w:pPr>
                  <w:r>
                    <w:rPr>
                      <w:rFonts w:hint="eastAsia"/>
                      <w:b w:val="0"/>
                      <w:bCs/>
                      <w:color w:val="auto"/>
                      <w:sz w:val="21"/>
                      <w:szCs w:val="21"/>
                      <w:lang w:val="en-US" w:eastAsia="zh-CN" w:bidi="ar"/>
                    </w:rPr>
                    <w:t>380</w:t>
                  </w:r>
                </w:p>
              </w:tc>
              <w:tc>
                <w:tcPr>
                  <w:tcW w:w="723" w:type="pct"/>
                  <w:tcBorders>
                    <w:tl2br w:val="nil"/>
                    <w:tr2bl w:val="nil"/>
                  </w:tcBorders>
                  <w:noWrap w:val="0"/>
                  <w:vAlign w:val="center"/>
                </w:tcPr>
                <w:p w14:paraId="28333A3C">
                  <w:pPr>
                    <w:jc w:val="center"/>
                    <w:rPr>
                      <w:rFonts w:hint="default"/>
                      <w:b w:val="0"/>
                      <w:bCs/>
                      <w:color w:val="auto"/>
                      <w:sz w:val="21"/>
                      <w:szCs w:val="21"/>
                      <w:lang w:val="en-US" w:eastAsia="zh-CN" w:bidi="ar"/>
                    </w:rPr>
                  </w:pPr>
                  <w:r>
                    <w:rPr>
                      <w:rFonts w:hint="eastAsia"/>
                      <w:b w:val="0"/>
                      <w:bCs/>
                      <w:color w:val="auto"/>
                      <w:sz w:val="21"/>
                      <w:szCs w:val="21"/>
                      <w:lang w:val="en-US" w:eastAsia="zh-CN" w:bidi="ar"/>
                    </w:rPr>
                    <w:t>30</w:t>
                  </w:r>
                </w:p>
              </w:tc>
              <w:tc>
                <w:tcPr>
                  <w:tcW w:w="686" w:type="pct"/>
                  <w:tcBorders>
                    <w:tl2br w:val="nil"/>
                    <w:tr2bl w:val="nil"/>
                  </w:tcBorders>
                  <w:noWrap w:val="0"/>
                  <w:vAlign w:val="center"/>
                </w:tcPr>
                <w:p w14:paraId="6A66E392">
                  <w:pPr>
                    <w:jc w:val="center"/>
                    <w:rPr>
                      <w:rFonts w:hint="default"/>
                      <w:b w:val="0"/>
                      <w:bCs/>
                      <w:color w:val="auto"/>
                      <w:sz w:val="21"/>
                      <w:szCs w:val="21"/>
                      <w:lang w:val="en-US" w:eastAsia="zh-CN" w:bidi="ar"/>
                    </w:rPr>
                  </w:pPr>
                  <w:r>
                    <w:rPr>
                      <w:rFonts w:hint="eastAsia"/>
                      <w:b w:val="0"/>
                      <w:bCs/>
                      <w:color w:val="auto"/>
                      <w:sz w:val="21"/>
                      <w:szCs w:val="21"/>
                      <w:lang w:val="en-US" w:eastAsia="zh-CN" w:bidi="ar"/>
                    </w:rPr>
                    <w:t>240</w:t>
                  </w:r>
                </w:p>
              </w:tc>
            </w:tr>
            <w:tr w14:paraId="05D120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106" w:type="pct"/>
                  <w:tcBorders>
                    <w:tl2br w:val="nil"/>
                    <w:tr2bl w:val="nil"/>
                  </w:tcBorders>
                  <w:noWrap w:val="0"/>
                  <w:vAlign w:val="center"/>
                </w:tcPr>
                <w:p w14:paraId="15455C42">
                  <w:pPr>
                    <w:jc w:val="center"/>
                    <w:rPr>
                      <w:rFonts w:hint="eastAsia"/>
                      <w:color w:val="auto"/>
                      <w:sz w:val="21"/>
                      <w:szCs w:val="21"/>
                      <w:highlight w:val="none"/>
                      <w:lang w:val="en-US" w:eastAsia="zh-CN"/>
                    </w:rPr>
                  </w:pPr>
                  <w:r>
                    <w:rPr>
                      <w:rFonts w:hint="eastAsia"/>
                      <w:color w:val="auto"/>
                      <w:sz w:val="21"/>
                      <w:szCs w:val="21"/>
                      <w:highlight w:val="none"/>
                      <w:lang w:val="en-US" w:eastAsia="zh-CN"/>
                    </w:rPr>
                    <w:t>本项目执行标准</w:t>
                  </w:r>
                </w:p>
              </w:tc>
              <w:tc>
                <w:tcPr>
                  <w:tcW w:w="730" w:type="pct"/>
                  <w:tcBorders>
                    <w:tl2br w:val="nil"/>
                    <w:tr2bl w:val="nil"/>
                  </w:tcBorders>
                  <w:noWrap w:val="0"/>
                  <w:vAlign w:val="center"/>
                </w:tcPr>
                <w:p w14:paraId="1818C893">
                  <w:pPr>
                    <w:jc w:val="center"/>
                    <w:rPr>
                      <w:rFonts w:hint="default"/>
                      <w:b w:val="0"/>
                      <w:bCs/>
                      <w:color w:val="auto"/>
                      <w:sz w:val="21"/>
                      <w:szCs w:val="21"/>
                      <w:lang w:val="en-US" w:eastAsia="zh-CN" w:bidi="ar"/>
                    </w:rPr>
                  </w:pPr>
                  <w:r>
                    <w:rPr>
                      <w:rFonts w:hint="eastAsia"/>
                      <w:b w:val="0"/>
                      <w:bCs/>
                      <w:color w:val="auto"/>
                      <w:sz w:val="21"/>
                      <w:szCs w:val="21"/>
                      <w:lang w:val="en-US" w:eastAsia="zh-CN" w:bidi="ar"/>
                    </w:rPr>
                    <w:t>300</w:t>
                  </w:r>
                </w:p>
              </w:tc>
              <w:tc>
                <w:tcPr>
                  <w:tcW w:w="753" w:type="pct"/>
                  <w:tcBorders>
                    <w:tl2br w:val="nil"/>
                    <w:tr2bl w:val="nil"/>
                  </w:tcBorders>
                  <w:noWrap w:val="0"/>
                  <w:vAlign w:val="center"/>
                </w:tcPr>
                <w:p w14:paraId="43DD92C0">
                  <w:pPr>
                    <w:jc w:val="center"/>
                    <w:rPr>
                      <w:rFonts w:hint="default"/>
                      <w:b w:val="0"/>
                      <w:bCs/>
                      <w:color w:val="auto"/>
                      <w:sz w:val="21"/>
                      <w:szCs w:val="21"/>
                      <w:lang w:val="en-US" w:eastAsia="zh-CN" w:bidi="ar"/>
                    </w:rPr>
                  </w:pPr>
                  <w:r>
                    <w:rPr>
                      <w:rFonts w:hint="eastAsia"/>
                      <w:b w:val="0"/>
                      <w:bCs/>
                      <w:color w:val="auto"/>
                      <w:sz w:val="21"/>
                      <w:szCs w:val="21"/>
                      <w:lang w:val="en-US" w:eastAsia="zh-CN" w:bidi="ar"/>
                    </w:rPr>
                    <w:t>300</w:t>
                  </w:r>
                </w:p>
              </w:tc>
              <w:tc>
                <w:tcPr>
                  <w:tcW w:w="723" w:type="pct"/>
                  <w:tcBorders>
                    <w:tl2br w:val="nil"/>
                    <w:tr2bl w:val="nil"/>
                  </w:tcBorders>
                  <w:noWrap w:val="0"/>
                  <w:vAlign w:val="center"/>
                </w:tcPr>
                <w:p w14:paraId="2EA1C55E">
                  <w:pPr>
                    <w:jc w:val="center"/>
                    <w:rPr>
                      <w:rFonts w:hint="default"/>
                      <w:b w:val="0"/>
                      <w:bCs/>
                      <w:color w:val="auto"/>
                      <w:sz w:val="21"/>
                      <w:szCs w:val="21"/>
                      <w:lang w:val="en-US" w:eastAsia="zh-CN" w:bidi="ar"/>
                    </w:rPr>
                  </w:pPr>
                  <w:r>
                    <w:rPr>
                      <w:rFonts w:hint="eastAsia"/>
                      <w:b w:val="0"/>
                      <w:bCs/>
                      <w:color w:val="auto"/>
                      <w:sz w:val="21"/>
                      <w:szCs w:val="21"/>
                      <w:lang w:val="en-US" w:eastAsia="zh-CN" w:bidi="ar"/>
                    </w:rPr>
                    <w:t>30</w:t>
                  </w:r>
                </w:p>
              </w:tc>
              <w:tc>
                <w:tcPr>
                  <w:tcW w:w="686" w:type="pct"/>
                  <w:tcBorders>
                    <w:tl2br w:val="nil"/>
                    <w:tr2bl w:val="nil"/>
                  </w:tcBorders>
                  <w:noWrap w:val="0"/>
                  <w:vAlign w:val="center"/>
                </w:tcPr>
                <w:p w14:paraId="46A209B4">
                  <w:pPr>
                    <w:jc w:val="center"/>
                    <w:rPr>
                      <w:rFonts w:hint="default"/>
                      <w:b w:val="0"/>
                      <w:bCs/>
                      <w:color w:val="auto"/>
                      <w:sz w:val="21"/>
                      <w:szCs w:val="21"/>
                      <w:lang w:val="en-US" w:eastAsia="zh-CN" w:bidi="ar"/>
                    </w:rPr>
                  </w:pPr>
                  <w:r>
                    <w:rPr>
                      <w:rFonts w:hint="eastAsia"/>
                      <w:b w:val="0"/>
                      <w:bCs/>
                      <w:color w:val="auto"/>
                      <w:sz w:val="21"/>
                      <w:szCs w:val="21"/>
                      <w:lang w:val="en-US" w:eastAsia="zh-CN" w:bidi="ar"/>
                    </w:rPr>
                    <w:t>240</w:t>
                  </w:r>
                </w:p>
              </w:tc>
            </w:tr>
          </w:tbl>
          <w:p w14:paraId="426645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3、噪声</w:t>
            </w:r>
          </w:p>
          <w:p w14:paraId="3A5CA9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sz w:val="21"/>
                <w:szCs w:val="21"/>
              </w:rPr>
            </w:pPr>
            <w:r>
              <w:rPr>
                <w:rFonts w:hint="eastAsia" w:ascii="Times New Roman" w:hAnsi="Times New Roman" w:eastAsia="宋体" w:cs="Times New Roman"/>
                <w:color w:val="auto"/>
                <w:sz w:val="24"/>
                <w:szCs w:val="24"/>
                <w:lang w:val="en-US" w:eastAsia="zh-CN"/>
              </w:rPr>
              <w:t>施工期设备安装噪声执行</w:t>
            </w:r>
            <w:r>
              <w:rPr>
                <w:rFonts w:hint="default" w:ascii="Times New Roman" w:hAnsi="Times New Roman" w:eastAsia="宋体" w:cs="Times New Roman"/>
                <w:color w:val="auto"/>
                <w:sz w:val="24"/>
                <w:szCs w:val="24"/>
              </w:rPr>
              <w:t>《建筑施工场界环境噪声排放标准》</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GB12523</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2011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营</w:t>
            </w:r>
            <w:r>
              <w:rPr>
                <w:rFonts w:hint="eastAsia" w:cs="Times New Roman"/>
                <w:color w:val="auto"/>
                <w:sz w:val="24"/>
                <w:szCs w:val="24"/>
                <w:lang w:val="en-US" w:eastAsia="zh-CN"/>
              </w:rPr>
              <w:t>运期</w:t>
            </w:r>
            <w:r>
              <w:rPr>
                <w:rFonts w:hint="default" w:ascii="Times New Roman" w:hAnsi="Times New Roman" w:eastAsia="宋体" w:cs="Times New Roman"/>
                <w:color w:val="auto"/>
                <w:sz w:val="24"/>
                <w:szCs w:val="24"/>
              </w:rPr>
              <w:t>噪声排放执行《工业企业厂界环境噪声排放标准》（GB12348-2008）中</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类标准，标准值详见下表。</w:t>
            </w:r>
          </w:p>
          <w:p w14:paraId="432726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righ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表3-</w:t>
            </w:r>
            <w:r>
              <w:rPr>
                <w:rFonts w:hint="eastAsia" w:ascii="Times New Roman" w:hAnsi="Times New Roman" w:eastAsia="宋体" w:cs="Times New Roman"/>
                <w:b/>
                <w:bCs/>
                <w:sz w:val="21"/>
                <w:szCs w:val="21"/>
                <w:lang w:val="en-US" w:eastAsia="zh-CN"/>
              </w:rPr>
              <w:t xml:space="preserve">8  </w:t>
            </w:r>
            <w:r>
              <w:rPr>
                <w:rFonts w:hint="default" w:ascii="Times New Roman" w:hAnsi="Times New Roman" w:eastAsia="宋体" w:cs="Times New Roman"/>
                <w:b/>
                <w:bCs/>
                <w:sz w:val="21"/>
                <w:szCs w:val="21"/>
              </w:rPr>
              <w:t>环境噪声排放标准</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zh-CN"/>
              </w:rPr>
              <w:t>单位：Leq</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zh-CN"/>
              </w:rPr>
              <w:t>dB（A）</w:t>
            </w:r>
          </w:p>
          <w:tbl>
            <w:tblPr>
              <w:tblStyle w:val="19"/>
              <w:tblW w:w="4998" w:type="pct"/>
              <w:tblInd w:w="2"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0" w:type="dxa"/>
                <w:bottom w:w="0" w:type="dxa"/>
                <w:right w:w="0" w:type="dxa"/>
              </w:tblCellMar>
            </w:tblPr>
            <w:tblGrid>
              <w:gridCol w:w="4412"/>
              <w:gridCol w:w="2199"/>
              <w:gridCol w:w="1792"/>
            </w:tblGrid>
            <w:tr w14:paraId="125BEE84">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625" w:type="pct"/>
                  <w:vMerge w:val="restart"/>
                  <w:tcBorders>
                    <w:tl2br w:val="nil"/>
                    <w:tr2bl w:val="nil"/>
                  </w:tcBorders>
                  <w:noWrap w:val="0"/>
                  <w:vAlign w:val="center"/>
                </w:tcPr>
                <w:p w14:paraId="7A568534">
                  <w:pPr>
                    <w:pStyle w:val="17"/>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baseline"/>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功能类别</w:t>
                  </w:r>
                </w:p>
              </w:tc>
              <w:tc>
                <w:tcPr>
                  <w:tcW w:w="2374" w:type="pct"/>
                  <w:gridSpan w:val="2"/>
                  <w:tcBorders>
                    <w:tl2br w:val="nil"/>
                    <w:tr2bl w:val="nil"/>
                  </w:tcBorders>
                  <w:noWrap w:val="0"/>
                  <w:vAlign w:val="center"/>
                </w:tcPr>
                <w:p w14:paraId="63D01DDD">
                  <w:pPr>
                    <w:pStyle w:val="17"/>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baseline"/>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标准值</w:t>
                  </w:r>
                </w:p>
              </w:tc>
            </w:tr>
            <w:tr w14:paraId="1D5EA98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625" w:type="pct"/>
                  <w:vMerge w:val="continue"/>
                  <w:tcBorders>
                    <w:tl2br w:val="nil"/>
                    <w:tr2bl w:val="nil"/>
                  </w:tcBorders>
                  <w:noWrap w:val="0"/>
                  <w:vAlign w:val="center"/>
                </w:tcPr>
                <w:p w14:paraId="78325846">
                  <w:pPr>
                    <w:pStyle w:val="17"/>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baseline"/>
                    <w:rPr>
                      <w:rFonts w:hint="default" w:ascii="Times New Roman" w:hAnsi="Times New Roman" w:eastAsia="宋体" w:cs="Times New Roman"/>
                      <w:b w:val="0"/>
                      <w:bCs/>
                      <w:color w:val="auto"/>
                      <w:kern w:val="2"/>
                      <w:sz w:val="21"/>
                      <w:szCs w:val="21"/>
                      <w:lang w:val="en-US" w:eastAsia="zh-CN" w:bidi="ar-SA"/>
                    </w:rPr>
                  </w:pPr>
                </w:p>
              </w:tc>
              <w:tc>
                <w:tcPr>
                  <w:tcW w:w="1308" w:type="pct"/>
                  <w:tcBorders>
                    <w:tl2br w:val="nil"/>
                    <w:tr2bl w:val="nil"/>
                  </w:tcBorders>
                  <w:noWrap w:val="0"/>
                  <w:vAlign w:val="center"/>
                </w:tcPr>
                <w:p w14:paraId="311133E9">
                  <w:pPr>
                    <w:pStyle w:val="17"/>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baseline"/>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昼间</w:t>
                  </w:r>
                </w:p>
              </w:tc>
              <w:tc>
                <w:tcPr>
                  <w:tcW w:w="1066" w:type="pct"/>
                  <w:tcBorders>
                    <w:tl2br w:val="nil"/>
                    <w:tr2bl w:val="nil"/>
                  </w:tcBorders>
                  <w:noWrap w:val="0"/>
                  <w:vAlign w:val="center"/>
                </w:tcPr>
                <w:p w14:paraId="6385F2CF">
                  <w:pPr>
                    <w:pStyle w:val="17"/>
                    <w:keepNext w:val="0"/>
                    <w:keepLines w:val="0"/>
                    <w:pageBreakBefore w:val="0"/>
                    <w:widowControl w:val="0"/>
                    <w:kinsoku/>
                    <w:wordWrap/>
                    <w:overflowPunct/>
                    <w:topLinePunct w:val="0"/>
                    <w:autoSpaceDE/>
                    <w:autoSpaceDN/>
                    <w:bidi w:val="0"/>
                    <w:adjustRightInd w:val="0"/>
                    <w:snapToGrid w:val="0"/>
                    <w:spacing w:after="0" w:line="240" w:lineRule="exact"/>
                    <w:ind w:firstLine="0" w:firstLineChars="0"/>
                    <w:jc w:val="center"/>
                    <w:textAlignment w:val="baseline"/>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夜间</w:t>
                  </w:r>
                </w:p>
              </w:tc>
            </w:tr>
            <w:tr w14:paraId="04C465E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625" w:type="pct"/>
                  <w:tcBorders>
                    <w:tl2br w:val="nil"/>
                    <w:tr2bl w:val="nil"/>
                  </w:tcBorders>
                  <w:noWrap w:val="0"/>
                  <w:vAlign w:val="center"/>
                </w:tcPr>
                <w:p w14:paraId="1EA3448B">
                  <w:pPr>
                    <w:pStyle w:val="17"/>
                    <w:snapToGrid w:val="0"/>
                    <w:spacing w:after="0" w:line="24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施工期《建筑施工场界环境噪声排放标准》（GB12523-2011）</w:t>
                  </w:r>
                </w:p>
              </w:tc>
              <w:tc>
                <w:tcPr>
                  <w:tcW w:w="1308" w:type="pct"/>
                  <w:tcBorders>
                    <w:tl2br w:val="nil"/>
                    <w:tr2bl w:val="nil"/>
                  </w:tcBorders>
                  <w:noWrap w:val="0"/>
                  <w:vAlign w:val="center"/>
                </w:tcPr>
                <w:p w14:paraId="3F143282">
                  <w:pPr>
                    <w:pStyle w:val="17"/>
                    <w:snapToGrid w:val="0"/>
                    <w:spacing w:after="0" w:line="24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70</w:t>
                  </w:r>
                </w:p>
              </w:tc>
              <w:tc>
                <w:tcPr>
                  <w:tcW w:w="1066" w:type="pct"/>
                  <w:tcBorders>
                    <w:tl2br w:val="nil"/>
                    <w:tr2bl w:val="nil"/>
                  </w:tcBorders>
                  <w:noWrap w:val="0"/>
                  <w:vAlign w:val="center"/>
                </w:tcPr>
                <w:p w14:paraId="1D55B5AB">
                  <w:pPr>
                    <w:pStyle w:val="17"/>
                    <w:snapToGrid w:val="0"/>
                    <w:spacing w:after="0" w:line="24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55</w:t>
                  </w:r>
                </w:p>
              </w:tc>
            </w:tr>
            <w:tr w14:paraId="5FC5754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625" w:type="pct"/>
                  <w:tcBorders>
                    <w:tl2br w:val="nil"/>
                    <w:tr2bl w:val="nil"/>
                  </w:tcBorders>
                  <w:noWrap w:val="0"/>
                  <w:vAlign w:val="center"/>
                </w:tcPr>
                <w:p w14:paraId="5E89E75A">
                  <w:pPr>
                    <w:pStyle w:val="17"/>
                    <w:snapToGrid w:val="0"/>
                    <w:spacing w:after="0" w:line="240" w:lineRule="auto"/>
                    <w:ind w:right="0" w:rightChars="0" w:firstLine="0" w:firstLineChars="0"/>
                    <w:jc w:val="center"/>
                    <w:rPr>
                      <w:rFonts w:hint="eastAsia" w:cs="Times New Roman"/>
                      <w:b w:val="0"/>
                      <w:bCs/>
                      <w:color w:val="auto"/>
                      <w:kern w:val="2"/>
                      <w:sz w:val="21"/>
                      <w:szCs w:val="21"/>
                      <w:lang w:val="en-US" w:eastAsia="zh-CN" w:bidi="ar-SA"/>
                    </w:rPr>
                  </w:pPr>
                  <w:r>
                    <w:rPr>
                      <w:rFonts w:hint="eastAsia" w:cs="Times New Roman"/>
                      <w:b w:val="0"/>
                      <w:bCs/>
                      <w:color w:val="auto"/>
                      <w:kern w:val="2"/>
                      <w:sz w:val="21"/>
                      <w:szCs w:val="21"/>
                      <w:lang w:val="en-US" w:eastAsia="zh-CN" w:bidi="ar-SA"/>
                    </w:rPr>
                    <w:t>运营期《工业企业厂界环境噪声排放标准》（GB12348-2008）中3类</w:t>
                  </w:r>
                </w:p>
              </w:tc>
              <w:tc>
                <w:tcPr>
                  <w:tcW w:w="1308" w:type="pct"/>
                  <w:tcBorders>
                    <w:tl2br w:val="nil"/>
                    <w:tr2bl w:val="nil"/>
                  </w:tcBorders>
                  <w:noWrap w:val="0"/>
                  <w:vAlign w:val="center"/>
                </w:tcPr>
                <w:p w14:paraId="10A75A6D">
                  <w:pPr>
                    <w:pStyle w:val="17"/>
                    <w:snapToGrid w:val="0"/>
                    <w:spacing w:after="0" w:line="240" w:lineRule="auto"/>
                    <w:ind w:right="0" w:rightChars="0"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6</w:t>
                  </w:r>
                  <w:r>
                    <w:rPr>
                      <w:rFonts w:hint="eastAsia" w:ascii="Times New Roman" w:hAnsi="Times New Roman" w:eastAsia="宋体" w:cs="Times New Roman"/>
                      <w:b w:val="0"/>
                      <w:bCs/>
                      <w:color w:val="auto"/>
                      <w:kern w:val="2"/>
                      <w:sz w:val="21"/>
                      <w:szCs w:val="21"/>
                      <w:lang w:val="en-US" w:eastAsia="zh-CN" w:bidi="ar-SA"/>
                    </w:rPr>
                    <w:t>5</w:t>
                  </w:r>
                </w:p>
              </w:tc>
              <w:tc>
                <w:tcPr>
                  <w:tcW w:w="1066" w:type="pct"/>
                  <w:tcBorders>
                    <w:tl2br w:val="nil"/>
                    <w:tr2bl w:val="nil"/>
                  </w:tcBorders>
                  <w:noWrap w:val="0"/>
                  <w:vAlign w:val="center"/>
                </w:tcPr>
                <w:p w14:paraId="2B1D6536">
                  <w:pPr>
                    <w:pStyle w:val="17"/>
                    <w:snapToGrid w:val="0"/>
                    <w:spacing w:after="0" w:line="240" w:lineRule="auto"/>
                    <w:ind w:right="0" w:rightChars="0"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5</w:t>
                  </w:r>
                  <w:r>
                    <w:rPr>
                      <w:rFonts w:hint="eastAsia" w:ascii="Times New Roman" w:hAnsi="Times New Roman" w:eastAsia="宋体" w:cs="Times New Roman"/>
                      <w:b w:val="0"/>
                      <w:bCs/>
                      <w:color w:val="auto"/>
                      <w:kern w:val="2"/>
                      <w:sz w:val="21"/>
                      <w:szCs w:val="21"/>
                      <w:lang w:val="en-US" w:eastAsia="zh-CN" w:bidi="ar-SA"/>
                    </w:rPr>
                    <w:t>5</w:t>
                  </w:r>
                </w:p>
              </w:tc>
            </w:tr>
          </w:tbl>
          <w:p w14:paraId="3E9D350E">
            <w:pPr>
              <w:spacing w:line="360" w:lineRule="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4、固废</w:t>
            </w:r>
          </w:p>
          <w:p w14:paraId="49A8C9B5">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eastAsia="宋体" w:cs="Times New Roman"/>
                <w:bCs/>
                <w:color w:val="auto"/>
                <w:kern w:val="2"/>
                <w:sz w:val="24"/>
                <w:szCs w:val="24"/>
                <w:lang w:val="en-US" w:eastAsia="zh-CN"/>
              </w:rPr>
            </w:pPr>
            <w:r>
              <w:rPr>
                <w:rFonts w:hint="eastAsia" w:ascii="Times New Roman" w:hAnsi="Times New Roman" w:eastAsia="宋体" w:cs="Times New Roman"/>
                <w:bCs/>
                <w:color w:val="auto"/>
                <w:kern w:val="2"/>
                <w:sz w:val="24"/>
                <w:szCs w:val="24"/>
                <w:lang w:val="en-US" w:eastAsia="zh-CN"/>
              </w:rPr>
              <w:t>一般固体废物执行《中华人民共和国固体废物污染环境防治法》（中华人民共和国主席令第五十八号公布，2020年4月29日修订版）中相关要求。</w:t>
            </w:r>
          </w:p>
          <w:p w14:paraId="477016F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eastAsia="宋体" w:cs="Times New Roman"/>
                <w:bCs/>
                <w:color w:val="auto"/>
                <w:kern w:val="2"/>
                <w:sz w:val="24"/>
                <w:szCs w:val="24"/>
                <w:lang w:val="en-US" w:eastAsia="zh-CN"/>
              </w:rPr>
            </w:pPr>
            <w:r>
              <w:rPr>
                <w:rFonts w:hint="eastAsia" w:ascii="Times New Roman" w:hAnsi="Times New Roman" w:eastAsia="宋体" w:cs="Times New Roman"/>
                <w:bCs/>
                <w:color w:val="auto"/>
                <w:kern w:val="2"/>
                <w:sz w:val="24"/>
                <w:szCs w:val="24"/>
                <w:lang w:val="en-US" w:eastAsia="zh-CN"/>
              </w:rPr>
              <w:t>危险废物暂存执行《危险废物贮存污染控制标准》（GB18597-2023）中相关要求。</w:t>
            </w:r>
          </w:p>
          <w:p w14:paraId="62C1DBF6">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Times New Roman" w:hAnsi="Times New Roman" w:eastAsia="宋体" w:cs="Times New Roman"/>
                <w:bCs/>
                <w:color w:val="auto"/>
                <w:kern w:val="2"/>
                <w:sz w:val="24"/>
                <w:szCs w:val="24"/>
                <w:lang w:val="en-US" w:eastAsia="zh-CN"/>
              </w:rPr>
            </w:pPr>
            <w:r>
              <w:rPr>
                <w:rFonts w:hint="eastAsia" w:ascii="Times New Roman" w:hAnsi="Times New Roman" w:eastAsia="宋体" w:cs="Times New Roman"/>
                <w:bCs/>
                <w:color w:val="auto"/>
                <w:kern w:val="2"/>
                <w:sz w:val="24"/>
                <w:szCs w:val="24"/>
                <w:lang w:val="en-US" w:eastAsia="zh-CN"/>
              </w:rPr>
              <w:t>生活垃圾排放及管理执行《城市生活垃圾管理办法》（中华人民共和国建设部令第157号，2015年修订）。</w:t>
            </w:r>
          </w:p>
        </w:tc>
      </w:tr>
      <w:tr w14:paraId="10499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977" w:type="dxa"/>
            <w:noWrap w:val="0"/>
            <w:vAlign w:val="center"/>
          </w:tcPr>
          <w:p w14:paraId="4E4A2CB9">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总量</w:t>
            </w:r>
          </w:p>
          <w:p w14:paraId="0981B555">
            <w:pPr>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控制</w:t>
            </w:r>
          </w:p>
          <w:p w14:paraId="47F36D1A">
            <w:pPr>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指标</w:t>
            </w:r>
          </w:p>
        </w:tc>
        <w:tc>
          <w:tcPr>
            <w:tcW w:w="8622" w:type="dxa"/>
            <w:noWrap w:val="0"/>
            <w:vAlign w:val="center"/>
          </w:tcPr>
          <w:p w14:paraId="2D276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lang w:val="en-GB" w:eastAsia="zh-CN"/>
              </w:rPr>
            </w:pPr>
            <w:r>
              <w:rPr>
                <w:rFonts w:hint="eastAsia" w:cs="Times New Roman"/>
                <w:color w:val="auto"/>
                <w:sz w:val="24"/>
                <w:lang w:val="en-GB" w:eastAsia="zh-CN"/>
              </w:rPr>
              <w:t>根据辽宁省生态环境厅发布的《关于进一步加强建设项目主要污染物排放总量指标审核和管理的通知》（辽环综函</w:t>
            </w:r>
            <w:r>
              <w:rPr>
                <w:rFonts w:hint="eastAsia" w:cs="Times New Roman"/>
                <w:color w:val="auto"/>
                <w:sz w:val="24"/>
                <w:lang w:val="en-US" w:eastAsia="zh-CN"/>
              </w:rPr>
              <w:t>[</w:t>
            </w:r>
            <w:r>
              <w:rPr>
                <w:rFonts w:hint="eastAsia" w:cs="Times New Roman"/>
                <w:color w:val="auto"/>
                <w:sz w:val="24"/>
                <w:lang w:val="en-GB" w:eastAsia="zh-CN"/>
              </w:rPr>
              <w:t>2020</w:t>
            </w:r>
            <w:r>
              <w:rPr>
                <w:rFonts w:hint="eastAsia" w:cs="Times New Roman"/>
                <w:color w:val="auto"/>
                <w:sz w:val="24"/>
                <w:lang w:val="en-US" w:eastAsia="zh-CN"/>
              </w:rPr>
              <w:t>]</w:t>
            </w:r>
            <w:r>
              <w:rPr>
                <w:rFonts w:hint="eastAsia" w:cs="Times New Roman"/>
                <w:color w:val="auto"/>
                <w:sz w:val="24"/>
                <w:lang w:val="en-GB" w:eastAsia="zh-CN"/>
              </w:rPr>
              <w:t>380号），为进一步规范建设项目主要污染物排放总量指标审核及管理工作，严控新增主要污染物排放量，坚决打赢污染防治攻坚战，持续改善全省环境质量，落实总量指标相关要求。总量指标包括：氮氧化物、VOCs、COD、NH</w:t>
            </w:r>
            <w:r>
              <w:rPr>
                <w:rFonts w:hint="eastAsia" w:cs="Times New Roman"/>
                <w:color w:val="auto"/>
                <w:sz w:val="24"/>
                <w:vertAlign w:val="subscript"/>
                <w:lang w:val="en-GB" w:eastAsia="zh-CN"/>
              </w:rPr>
              <w:t>3</w:t>
            </w:r>
            <w:r>
              <w:rPr>
                <w:rFonts w:hint="eastAsia" w:cs="Times New Roman"/>
                <w:color w:val="auto"/>
                <w:sz w:val="24"/>
                <w:lang w:val="en-GB" w:eastAsia="zh-CN"/>
              </w:rPr>
              <w:t>-N。</w:t>
            </w:r>
            <w:r>
              <w:rPr>
                <w:rFonts w:hint="default" w:ascii="Times New Roman" w:hAnsi="Times New Roman" w:eastAsia="宋体" w:cs="Times New Roman"/>
                <w:color w:val="auto"/>
                <w:sz w:val="24"/>
                <w:lang w:val="en-GB" w:eastAsia="zh-CN"/>
              </w:rPr>
              <w:t>评价对本项目污染物排放总量提出如下建议控制指标</w:t>
            </w:r>
            <w:r>
              <w:rPr>
                <w:rFonts w:hint="eastAsia" w:ascii="Times New Roman" w:hAnsi="Times New Roman" w:eastAsia="宋体" w:cs="Times New Roman"/>
                <w:color w:val="auto"/>
                <w:sz w:val="24"/>
                <w:lang w:val="en-GB" w:eastAsia="zh-CN"/>
              </w:rPr>
              <w:t>：</w:t>
            </w:r>
          </w:p>
          <w:p w14:paraId="3D71C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废水</w:t>
            </w:r>
          </w:p>
          <w:p w14:paraId="461770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项</w:t>
            </w:r>
            <w:r>
              <w:rPr>
                <w:rFonts w:hint="default" w:ascii="Times New Roman" w:hAnsi="Times New Roman" w:eastAsia="宋体" w:cs="Times New Roman"/>
                <w:color w:val="auto"/>
                <w:sz w:val="24"/>
                <w:highlight w:val="none"/>
                <w:lang w:eastAsia="zh-CN"/>
              </w:rPr>
              <w:t>目</w:t>
            </w:r>
            <w:r>
              <w:rPr>
                <w:rFonts w:hint="eastAsia"/>
                <w:sz w:val="24"/>
                <w:szCs w:val="24"/>
                <w:highlight w:val="none"/>
                <w:lang w:eastAsia="zh-CN"/>
              </w:rPr>
              <w:t>打磨废水、清洗</w:t>
            </w:r>
            <w:r>
              <w:rPr>
                <w:rFonts w:hint="eastAsia"/>
                <w:sz w:val="24"/>
                <w:szCs w:val="24"/>
                <w:lang w:eastAsia="zh-CN"/>
              </w:rPr>
              <w:t>废水</w:t>
            </w:r>
            <w:r>
              <w:rPr>
                <w:rFonts w:hint="eastAsia"/>
                <w:sz w:val="24"/>
                <w:szCs w:val="24"/>
                <w:lang w:val="en-US" w:eastAsia="zh-CN"/>
              </w:rPr>
              <w:t>经</w:t>
            </w:r>
            <w:r>
              <w:rPr>
                <w:rFonts w:hint="eastAsia"/>
                <w:sz w:val="24"/>
                <w:szCs w:val="24"/>
                <w:lang w:eastAsia="zh-CN"/>
              </w:rPr>
              <w:t>处理后循环使用；</w:t>
            </w:r>
            <w:r>
              <w:rPr>
                <w:rFonts w:hint="default" w:ascii="Times New Roman" w:hAnsi="Times New Roman" w:eastAsia="宋体" w:cs="Times New Roman"/>
                <w:color w:val="auto"/>
                <w:sz w:val="24"/>
                <w:lang w:val="en-US" w:eastAsia="zh-CN"/>
              </w:rPr>
              <w:t>生活污水经</w:t>
            </w:r>
            <w:r>
              <w:rPr>
                <w:rFonts w:hint="eastAsia" w:cs="Times New Roman"/>
                <w:color w:val="auto"/>
                <w:sz w:val="24"/>
                <w:lang w:val="en-US" w:eastAsia="zh-CN"/>
              </w:rPr>
              <w:t>厂区现有化粪池</w:t>
            </w:r>
            <w:r>
              <w:rPr>
                <w:rFonts w:hint="default" w:ascii="Times New Roman" w:hAnsi="Times New Roman" w:eastAsia="宋体" w:cs="Times New Roman"/>
                <w:color w:val="auto"/>
                <w:sz w:val="24"/>
                <w:lang w:val="en-US" w:eastAsia="zh-CN"/>
              </w:rPr>
              <w:t>预处理后</w:t>
            </w:r>
            <w:r>
              <w:rPr>
                <w:rFonts w:hint="eastAsia" w:ascii="Times New Roman" w:hAnsi="Times New Roman" w:eastAsia="宋体" w:cs="Times New Roman"/>
                <w:color w:val="auto"/>
                <w:sz w:val="24"/>
                <w:lang w:val="en-US" w:eastAsia="zh-CN"/>
              </w:rPr>
              <w:t>由市政污水管网</w:t>
            </w:r>
            <w:r>
              <w:rPr>
                <w:rFonts w:hint="default" w:ascii="Times New Roman" w:hAnsi="Times New Roman" w:eastAsia="宋体" w:cs="Times New Roman"/>
                <w:color w:val="auto"/>
                <w:sz w:val="24"/>
                <w:lang w:val="en-US" w:eastAsia="zh-CN"/>
              </w:rPr>
              <w:t>排入</w:t>
            </w:r>
            <w:r>
              <w:rPr>
                <w:rFonts w:hint="eastAsia" w:cs="Times New Roman"/>
                <w:color w:val="auto"/>
                <w:sz w:val="24"/>
                <w:lang w:val="en-US" w:eastAsia="zh-CN"/>
              </w:rPr>
              <w:t>调兵山城市</w:t>
            </w:r>
            <w:r>
              <w:rPr>
                <w:rFonts w:hint="default" w:ascii="Times New Roman" w:hAnsi="Times New Roman" w:eastAsia="宋体" w:cs="Times New Roman"/>
                <w:color w:val="auto"/>
                <w:sz w:val="24"/>
                <w:lang w:val="en-US" w:eastAsia="zh-CN"/>
              </w:rPr>
              <w:t>污水处理厂</w:t>
            </w:r>
            <w:r>
              <w:rPr>
                <w:rFonts w:hint="eastAsia" w:ascii="Times New Roman" w:hAnsi="Times New Roman" w:eastAsia="宋体" w:cs="Times New Roman"/>
                <w:color w:val="auto"/>
                <w:sz w:val="24"/>
                <w:lang w:val="en-US" w:eastAsia="zh-CN"/>
              </w:rPr>
              <w:t>处理达标排放</w:t>
            </w:r>
            <w:r>
              <w:rPr>
                <w:rFonts w:hint="eastAsia" w:cs="Times New Roman"/>
                <w:color w:val="auto"/>
                <w:sz w:val="24"/>
                <w:lang w:val="en-US" w:eastAsia="zh-CN"/>
              </w:rPr>
              <w:t>，废水执行《城镇污水处理厂污染物排放标准》一级A标准（COD排放浓度：50mg/L，氨氮排放浓度：5m</w:t>
            </w:r>
            <w:r>
              <w:rPr>
                <w:rFonts w:hint="eastAsia" w:ascii="Times New Roman" w:hAnsi="Times New Roman" w:eastAsia="宋体" w:cs="Times New Roman"/>
                <w:color w:val="auto"/>
                <w:sz w:val="24"/>
                <w:lang w:val="en-US" w:eastAsia="zh-CN"/>
              </w:rPr>
              <w:t>g/L）。本项目排放废水量270</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w:t>
            </w:r>
          </w:p>
          <w:p w14:paraId="075886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lang w:val="en-US" w:eastAsia="zh-CN"/>
              </w:rPr>
              <w:t>污水处理厂COD排放</w:t>
            </w:r>
            <w:r>
              <w:rPr>
                <w:rFonts w:hint="eastAsia" w:ascii="Times New Roman" w:hAnsi="Times New Roman" w:eastAsia="宋体" w:cs="Times New Roman"/>
                <w:color w:val="auto"/>
                <w:sz w:val="24"/>
                <w:highlight w:val="none"/>
                <w:lang w:val="en-US" w:eastAsia="zh-CN"/>
              </w:rPr>
              <w:t>量：270</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50</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10</w:t>
            </w:r>
            <w:r>
              <w:rPr>
                <w:rFonts w:hint="eastAsia" w:ascii="Times New Roman" w:hAnsi="Times New Roman" w:eastAsia="宋体" w:cs="Times New Roman"/>
                <w:color w:val="auto"/>
                <w:sz w:val="24"/>
                <w:highlight w:val="none"/>
                <w:vertAlign w:val="superscript"/>
                <w:lang w:val="en-US" w:eastAsia="zh-CN"/>
              </w:rPr>
              <w:t>-6</w:t>
            </w:r>
            <w:r>
              <w:rPr>
                <w:rFonts w:hint="eastAsia" w:ascii="Times New Roman" w:hAnsi="Times New Roman" w:eastAsia="宋体" w:cs="Times New Roman"/>
                <w:color w:val="auto"/>
                <w:sz w:val="24"/>
                <w:highlight w:val="none"/>
                <w:lang w:val="en-US" w:eastAsia="zh-CN"/>
              </w:rPr>
              <w:t>=0.0135t/a</w:t>
            </w:r>
          </w:p>
          <w:p w14:paraId="34C1C5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污水处理厂氨氮排放量：270</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10</w:t>
            </w:r>
            <w:r>
              <w:rPr>
                <w:rFonts w:hint="eastAsia" w:ascii="Times New Roman" w:hAnsi="Times New Roman" w:eastAsia="宋体" w:cs="Times New Roman"/>
                <w:color w:val="auto"/>
                <w:sz w:val="24"/>
                <w:highlight w:val="none"/>
                <w:vertAlign w:val="superscript"/>
                <w:lang w:val="en-US" w:eastAsia="zh-CN"/>
              </w:rPr>
              <w:t>-6</w:t>
            </w:r>
            <w:r>
              <w:rPr>
                <w:rFonts w:hint="eastAsia" w:ascii="Times New Roman" w:hAnsi="Times New Roman" w:eastAsia="宋体" w:cs="Times New Roman"/>
                <w:color w:val="auto"/>
                <w:sz w:val="24"/>
                <w:highlight w:val="none"/>
                <w:lang w:val="en-US" w:eastAsia="zh-CN"/>
              </w:rPr>
              <w:t>=0.00135t/a</w:t>
            </w:r>
          </w:p>
          <w:p w14:paraId="18405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废气</w:t>
            </w:r>
          </w:p>
          <w:p w14:paraId="7ABB71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s="Times New Roman"/>
                <w:color w:val="auto"/>
                <w:sz w:val="24"/>
                <w:highlight w:val="none"/>
                <w:lang w:val="en-US" w:eastAsia="zh-CN"/>
              </w:rPr>
            </w:pPr>
            <w:r>
              <w:rPr>
                <w:rFonts w:hint="eastAsia" w:cs="Times New Roman"/>
                <w:color w:val="auto"/>
                <w:sz w:val="24"/>
                <w:highlight w:val="none"/>
                <w:lang w:eastAsia="zh-CN"/>
              </w:rPr>
              <w:t>根据工程分析废气源强计算，本项目</w:t>
            </w:r>
            <w:r>
              <w:rPr>
                <w:rFonts w:hint="eastAsia" w:cs="Times New Roman"/>
                <w:color w:val="auto"/>
                <w:sz w:val="24"/>
                <w:highlight w:val="none"/>
                <w:lang w:val="en-US" w:eastAsia="zh-CN"/>
              </w:rPr>
              <w:t>VOCs排放量（以非甲烷总烃计）为0.4564t/a，故本项目VOCs总量指标为0.4564t/a。</w:t>
            </w:r>
          </w:p>
          <w:p w14:paraId="6D75C9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b/>
                <w:bCs/>
                <w:color w:val="auto"/>
                <w:sz w:val="21"/>
                <w:szCs w:val="21"/>
                <w:highlight w:val="none"/>
                <w:lang w:val="en-US" w:eastAsia="zh-CN"/>
              </w:rPr>
            </w:pPr>
          </w:p>
          <w:p w14:paraId="1570B8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b/>
                <w:bCs/>
                <w:color w:val="auto"/>
                <w:sz w:val="21"/>
                <w:szCs w:val="21"/>
                <w:highlight w:val="none"/>
                <w:lang w:val="en-US" w:eastAsia="zh-CN"/>
              </w:rPr>
              <w:t>表3-9  本项目污染物指标</w:t>
            </w:r>
          </w:p>
          <w:tbl>
            <w:tblPr>
              <w:tblStyle w:val="20"/>
              <w:tblW w:w="840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3651"/>
              <w:gridCol w:w="3406"/>
            </w:tblGrid>
            <w:tr w14:paraId="2A9755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9" w:type="dxa"/>
                  <w:tcBorders>
                    <w:tl2br w:val="nil"/>
                    <w:tr2bl w:val="nil"/>
                  </w:tcBorders>
                  <w:vAlign w:val="center"/>
                </w:tcPr>
                <w:p w14:paraId="16DF8E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类别</w:t>
                  </w:r>
                </w:p>
              </w:tc>
              <w:tc>
                <w:tcPr>
                  <w:tcW w:w="3651" w:type="dxa"/>
                  <w:tcBorders>
                    <w:tl2br w:val="nil"/>
                    <w:tr2bl w:val="nil"/>
                  </w:tcBorders>
                  <w:vAlign w:val="center"/>
                </w:tcPr>
                <w:p w14:paraId="49B947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污染物</w:t>
                  </w:r>
                </w:p>
              </w:tc>
              <w:tc>
                <w:tcPr>
                  <w:tcW w:w="3406" w:type="dxa"/>
                  <w:tcBorders>
                    <w:tl2br w:val="nil"/>
                    <w:tr2bl w:val="nil"/>
                  </w:tcBorders>
                  <w:vAlign w:val="center"/>
                </w:tcPr>
                <w:p w14:paraId="3A272B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总量指标</w:t>
                  </w:r>
                </w:p>
              </w:tc>
            </w:tr>
            <w:tr w14:paraId="50CD64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9" w:type="dxa"/>
                  <w:vMerge w:val="restart"/>
                  <w:tcBorders>
                    <w:tl2br w:val="nil"/>
                    <w:tr2bl w:val="nil"/>
                  </w:tcBorders>
                  <w:vAlign w:val="center"/>
                </w:tcPr>
                <w:p w14:paraId="2F2304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废水</w:t>
                  </w:r>
                </w:p>
              </w:tc>
              <w:tc>
                <w:tcPr>
                  <w:tcW w:w="3651" w:type="dxa"/>
                  <w:tcBorders>
                    <w:tl2br w:val="nil"/>
                    <w:tr2bl w:val="nil"/>
                  </w:tcBorders>
                  <w:vAlign w:val="center"/>
                </w:tcPr>
                <w:p w14:paraId="4D9ACD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COD</w:t>
                  </w:r>
                </w:p>
              </w:tc>
              <w:tc>
                <w:tcPr>
                  <w:tcW w:w="3406" w:type="dxa"/>
                  <w:tcBorders>
                    <w:tl2br w:val="nil"/>
                    <w:tr2bl w:val="nil"/>
                  </w:tcBorders>
                  <w:vAlign w:val="center"/>
                </w:tcPr>
                <w:p w14:paraId="5BCBDA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0.0135t/a</w:t>
                  </w:r>
                </w:p>
              </w:tc>
            </w:tr>
            <w:tr w14:paraId="69FDDB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9" w:type="dxa"/>
                  <w:vMerge w:val="continue"/>
                  <w:tcBorders>
                    <w:tl2br w:val="nil"/>
                    <w:tr2bl w:val="nil"/>
                  </w:tcBorders>
                  <w:vAlign w:val="center"/>
                </w:tcPr>
                <w:p w14:paraId="2D86E5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p>
              </w:tc>
              <w:tc>
                <w:tcPr>
                  <w:tcW w:w="3651" w:type="dxa"/>
                  <w:tcBorders>
                    <w:tl2br w:val="nil"/>
                    <w:tr2bl w:val="nil"/>
                  </w:tcBorders>
                  <w:vAlign w:val="center"/>
                </w:tcPr>
                <w:p w14:paraId="478C40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氨氮</w:t>
                  </w:r>
                </w:p>
              </w:tc>
              <w:tc>
                <w:tcPr>
                  <w:tcW w:w="3406" w:type="dxa"/>
                  <w:tcBorders>
                    <w:tl2br w:val="nil"/>
                    <w:tr2bl w:val="nil"/>
                  </w:tcBorders>
                  <w:vAlign w:val="center"/>
                </w:tcPr>
                <w:p w14:paraId="6CAD97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lang w:val="en-US" w:eastAsia="zh-CN"/>
                    </w:rPr>
                    <w:t>0.00135t/a</w:t>
                  </w:r>
                </w:p>
              </w:tc>
            </w:tr>
            <w:tr w14:paraId="43CC1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9" w:type="dxa"/>
                  <w:tcBorders>
                    <w:tl2br w:val="nil"/>
                    <w:tr2bl w:val="nil"/>
                  </w:tcBorders>
                  <w:vAlign w:val="center"/>
                </w:tcPr>
                <w:p w14:paraId="673DB4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废气</w:t>
                  </w:r>
                </w:p>
              </w:tc>
              <w:tc>
                <w:tcPr>
                  <w:tcW w:w="3651" w:type="dxa"/>
                  <w:tcBorders>
                    <w:tl2br w:val="nil"/>
                    <w:tr2bl w:val="nil"/>
                  </w:tcBorders>
                  <w:vAlign w:val="center"/>
                </w:tcPr>
                <w:p w14:paraId="1A1D21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VOCs</w:t>
                  </w:r>
                </w:p>
              </w:tc>
              <w:tc>
                <w:tcPr>
                  <w:tcW w:w="3406" w:type="dxa"/>
                  <w:tcBorders>
                    <w:tl2br w:val="nil"/>
                    <w:tr2bl w:val="nil"/>
                  </w:tcBorders>
                  <w:vAlign w:val="center"/>
                </w:tcPr>
                <w:p w14:paraId="4E50E1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lang w:val="en-US" w:eastAsia="zh-CN"/>
                    </w:rPr>
                    <w:t>0.4564t/a</w:t>
                  </w:r>
                </w:p>
              </w:tc>
            </w:tr>
          </w:tbl>
          <w:p w14:paraId="22628B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cs="Times New Roman"/>
                <w:color w:val="auto"/>
                <w:sz w:val="21"/>
                <w:szCs w:val="21"/>
                <w:highlight w:val="none"/>
                <w:lang w:val="en-US" w:eastAsia="zh-CN"/>
              </w:rPr>
            </w:pPr>
          </w:p>
          <w:p w14:paraId="42A73D2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p>
          <w:p w14:paraId="2E7AE71B">
            <w:pPr>
              <w:pStyle w:val="2"/>
              <w:rPr>
                <w:rFonts w:hint="eastAsia" w:ascii="宋体" w:hAnsi="宋体" w:eastAsia="宋体" w:cs="宋体"/>
                <w:color w:val="auto"/>
                <w:kern w:val="0"/>
                <w:sz w:val="24"/>
                <w:szCs w:val="24"/>
                <w:lang w:eastAsia="zh-CN"/>
              </w:rPr>
            </w:pPr>
          </w:p>
          <w:p w14:paraId="73D4C6C4">
            <w:pPr>
              <w:rPr>
                <w:rFonts w:hint="eastAsia" w:ascii="宋体" w:hAnsi="宋体" w:eastAsia="宋体" w:cs="宋体"/>
                <w:color w:val="auto"/>
                <w:kern w:val="0"/>
                <w:sz w:val="24"/>
                <w:szCs w:val="24"/>
                <w:lang w:eastAsia="zh-CN"/>
              </w:rPr>
            </w:pPr>
          </w:p>
          <w:p w14:paraId="76D45BD4">
            <w:pPr>
              <w:pStyle w:val="2"/>
              <w:rPr>
                <w:rFonts w:hint="eastAsia" w:ascii="宋体" w:hAnsi="宋体" w:eastAsia="宋体" w:cs="宋体"/>
                <w:color w:val="auto"/>
                <w:kern w:val="0"/>
                <w:sz w:val="24"/>
                <w:szCs w:val="24"/>
                <w:lang w:eastAsia="zh-CN"/>
              </w:rPr>
            </w:pPr>
          </w:p>
          <w:p w14:paraId="175C94FE">
            <w:pPr>
              <w:rPr>
                <w:rFonts w:hint="eastAsia" w:ascii="宋体" w:hAnsi="宋体" w:eastAsia="宋体" w:cs="宋体"/>
                <w:color w:val="auto"/>
                <w:kern w:val="0"/>
                <w:sz w:val="24"/>
                <w:szCs w:val="24"/>
                <w:lang w:eastAsia="zh-CN"/>
              </w:rPr>
            </w:pPr>
          </w:p>
          <w:p w14:paraId="4C966562">
            <w:pPr>
              <w:pStyle w:val="2"/>
              <w:rPr>
                <w:rFonts w:hint="eastAsia" w:ascii="宋体" w:hAnsi="宋体" w:eastAsia="宋体" w:cs="宋体"/>
                <w:color w:val="auto"/>
                <w:kern w:val="0"/>
                <w:sz w:val="24"/>
                <w:szCs w:val="24"/>
                <w:lang w:eastAsia="zh-CN"/>
              </w:rPr>
            </w:pPr>
          </w:p>
          <w:p w14:paraId="347EF327">
            <w:pPr>
              <w:pStyle w:val="2"/>
              <w:ind w:left="0" w:leftChars="0" w:firstLine="0" w:firstLineChars="0"/>
              <w:rPr>
                <w:rFonts w:hint="eastAsia" w:ascii="宋体" w:hAnsi="宋体" w:eastAsia="宋体" w:cs="宋体"/>
                <w:color w:val="auto"/>
                <w:kern w:val="0"/>
                <w:sz w:val="24"/>
                <w:szCs w:val="24"/>
                <w:lang w:eastAsia="zh-CN"/>
              </w:rPr>
            </w:pPr>
          </w:p>
          <w:p w14:paraId="0485F4E9">
            <w:pPr>
              <w:rPr>
                <w:rFonts w:hint="eastAsia" w:ascii="宋体" w:hAnsi="宋体" w:eastAsia="宋体" w:cs="宋体"/>
                <w:color w:val="auto"/>
                <w:kern w:val="0"/>
                <w:sz w:val="24"/>
                <w:szCs w:val="24"/>
                <w:lang w:eastAsia="zh-CN"/>
              </w:rPr>
            </w:pPr>
          </w:p>
          <w:p w14:paraId="05A28383">
            <w:pPr>
              <w:pStyle w:val="2"/>
              <w:rPr>
                <w:rFonts w:hint="eastAsia" w:ascii="宋体" w:hAnsi="宋体" w:eastAsia="宋体" w:cs="宋体"/>
                <w:color w:val="auto"/>
                <w:kern w:val="0"/>
                <w:sz w:val="24"/>
                <w:szCs w:val="24"/>
                <w:lang w:eastAsia="zh-CN"/>
              </w:rPr>
            </w:pPr>
          </w:p>
          <w:p w14:paraId="4CC45F38">
            <w:pPr>
              <w:rPr>
                <w:rFonts w:hint="eastAsia" w:ascii="宋体" w:hAnsi="宋体" w:eastAsia="宋体" w:cs="宋体"/>
                <w:color w:val="auto"/>
                <w:kern w:val="0"/>
                <w:sz w:val="24"/>
                <w:szCs w:val="24"/>
                <w:lang w:eastAsia="zh-CN"/>
              </w:rPr>
            </w:pPr>
          </w:p>
          <w:p w14:paraId="7D6623B2">
            <w:pPr>
              <w:pStyle w:val="2"/>
              <w:rPr>
                <w:rFonts w:hint="eastAsia" w:ascii="宋体" w:hAnsi="宋体" w:eastAsia="宋体" w:cs="宋体"/>
                <w:color w:val="auto"/>
                <w:kern w:val="0"/>
                <w:sz w:val="24"/>
                <w:szCs w:val="24"/>
                <w:lang w:eastAsia="zh-CN"/>
              </w:rPr>
            </w:pPr>
          </w:p>
          <w:p w14:paraId="47E3A555">
            <w:pPr>
              <w:rPr>
                <w:rFonts w:hint="eastAsia" w:ascii="宋体" w:hAnsi="宋体" w:eastAsia="宋体" w:cs="宋体"/>
                <w:color w:val="auto"/>
                <w:kern w:val="0"/>
                <w:sz w:val="24"/>
                <w:szCs w:val="24"/>
                <w:lang w:eastAsia="zh-CN"/>
              </w:rPr>
            </w:pPr>
          </w:p>
          <w:p w14:paraId="10FB3C6E">
            <w:pPr>
              <w:pStyle w:val="2"/>
              <w:rPr>
                <w:rFonts w:hint="eastAsia" w:ascii="宋体" w:hAnsi="宋体" w:eastAsia="宋体" w:cs="宋体"/>
                <w:color w:val="auto"/>
                <w:kern w:val="0"/>
                <w:sz w:val="24"/>
                <w:szCs w:val="24"/>
                <w:lang w:eastAsia="zh-CN"/>
              </w:rPr>
            </w:pPr>
          </w:p>
          <w:p w14:paraId="785B1037">
            <w:pPr>
              <w:rPr>
                <w:rFonts w:hint="eastAsia" w:ascii="宋体" w:hAnsi="宋体" w:eastAsia="宋体" w:cs="宋体"/>
                <w:color w:val="auto"/>
                <w:kern w:val="0"/>
                <w:sz w:val="24"/>
                <w:szCs w:val="24"/>
                <w:lang w:eastAsia="zh-CN"/>
              </w:rPr>
            </w:pPr>
          </w:p>
          <w:p w14:paraId="59975573">
            <w:pPr>
              <w:pStyle w:val="2"/>
              <w:rPr>
                <w:rFonts w:hint="eastAsia" w:ascii="宋体" w:hAnsi="宋体" w:eastAsia="宋体" w:cs="宋体"/>
                <w:color w:val="auto"/>
                <w:kern w:val="0"/>
                <w:sz w:val="24"/>
                <w:szCs w:val="24"/>
                <w:lang w:eastAsia="zh-CN"/>
              </w:rPr>
            </w:pPr>
          </w:p>
          <w:p w14:paraId="16DC1A4E">
            <w:pPr>
              <w:rPr>
                <w:rFonts w:hint="eastAsia" w:ascii="宋体" w:hAnsi="宋体" w:eastAsia="宋体" w:cs="宋体"/>
                <w:color w:val="auto"/>
                <w:kern w:val="0"/>
                <w:sz w:val="24"/>
                <w:szCs w:val="24"/>
                <w:lang w:eastAsia="zh-CN"/>
              </w:rPr>
            </w:pPr>
          </w:p>
          <w:p w14:paraId="579CBB0B">
            <w:pPr>
              <w:pStyle w:val="2"/>
              <w:rPr>
                <w:rFonts w:hint="eastAsia" w:ascii="宋体" w:hAnsi="宋体" w:eastAsia="宋体" w:cs="宋体"/>
                <w:color w:val="auto"/>
                <w:kern w:val="0"/>
                <w:sz w:val="24"/>
                <w:szCs w:val="24"/>
                <w:lang w:eastAsia="zh-CN"/>
              </w:rPr>
            </w:pPr>
          </w:p>
          <w:p w14:paraId="09030AAE">
            <w:pPr>
              <w:rPr>
                <w:rFonts w:hint="eastAsia" w:ascii="宋体" w:hAnsi="宋体" w:eastAsia="宋体" w:cs="宋体"/>
                <w:color w:val="auto"/>
                <w:kern w:val="0"/>
                <w:sz w:val="24"/>
                <w:szCs w:val="24"/>
                <w:lang w:eastAsia="zh-CN"/>
              </w:rPr>
            </w:pPr>
          </w:p>
          <w:p w14:paraId="76A640F9">
            <w:pPr>
              <w:pStyle w:val="2"/>
              <w:rPr>
                <w:rFonts w:hint="eastAsia" w:ascii="宋体" w:hAnsi="宋体" w:eastAsia="宋体" w:cs="宋体"/>
                <w:color w:val="auto"/>
                <w:kern w:val="0"/>
                <w:sz w:val="24"/>
                <w:szCs w:val="24"/>
                <w:lang w:eastAsia="zh-CN"/>
              </w:rPr>
            </w:pPr>
          </w:p>
          <w:p w14:paraId="0568DF28">
            <w:pPr>
              <w:rPr>
                <w:rFonts w:hint="eastAsia" w:ascii="宋体" w:hAnsi="宋体" w:eastAsia="宋体" w:cs="宋体"/>
                <w:color w:val="auto"/>
                <w:kern w:val="0"/>
                <w:sz w:val="24"/>
                <w:szCs w:val="24"/>
                <w:lang w:eastAsia="zh-CN"/>
              </w:rPr>
            </w:pPr>
          </w:p>
          <w:p w14:paraId="5EDBA8C5">
            <w:pPr>
              <w:pStyle w:val="2"/>
              <w:rPr>
                <w:rFonts w:hint="eastAsia"/>
                <w:lang w:eastAsia="zh-CN"/>
              </w:rPr>
            </w:pPr>
          </w:p>
          <w:p w14:paraId="3B527561">
            <w:pPr>
              <w:pStyle w:val="2"/>
              <w:rPr>
                <w:rFonts w:hint="eastAsia"/>
                <w:lang w:eastAsia="zh-CN"/>
              </w:rPr>
            </w:pPr>
          </w:p>
          <w:p w14:paraId="6F99A89D">
            <w:pPr>
              <w:rPr>
                <w:rFonts w:hint="eastAsia" w:ascii="宋体" w:hAnsi="宋体" w:eastAsia="宋体" w:cs="宋体"/>
                <w:color w:val="auto"/>
                <w:kern w:val="0"/>
                <w:sz w:val="24"/>
                <w:szCs w:val="24"/>
                <w:lang w:eastAsia="zh-CN"/>
              </w:rPr>
            </w:pPr>
          </w:p>
          <w:p w14:paraId="4471E08D">
            <w:pPr>
              <w:pStyle w:val="2"/>
              <w:rPr>
                <w:rFonts w:hint="eastAsia"/>
                <w:lang w:eastAsia="zh-CN"/>
              </w:rPr>
            </w:pPr>
          </w:p>
        </w:tc>
      </w:tr>
    </w:tbl>
    <w:p w14:paraId="258441E2">
      <w:pPr>
        <w:jc w:val="center"/>
        <w:rPr>
          <w:rFonts w:hint="eastAsia" w:ascii="楷体" w:hAnsi="楷体" w:eastAsia="楷体"/>
          <w:color w:val="auto"/>
          <w:sz w:val="36"/>
          <w:szCs w:val="36"/>
        </w:rPr>
        <w:sectPr>
          <w:footerReference r:id="rId4" w:type="default"/>
          <w:pgSz w:w="11906" w:h="16838"/>
          <w:pgMar w:top="1134" w:right="1134" w:bottom="1134" w:left="1134" w:header="567" w:footer="567"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B744D09">
      <w:pPr>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四、主要环境影响和保护措施</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654"/>
      </w:tblGrid>
      <w:tr w14:paraId="12BDC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noWrap w:val="0"/>
            <w:tcMar>
              <w:left w:w="28" w:type="dxa"/>
              <w:right w:w="28" w:type="dxa"/>
            </w:tcMar>
            <w:vAlign w:val="center"/>
          </w:tcPr>
          <w:p w14:paraId="2489BA46">
            <w:pPr>
              <w:pStyle w:val="16"/>
              <w:adjustRightInd w:val="0"/>
              <w:snapToGrid w:val="0"/>
              <w:spacing w:before="0" w:beforeAutospacing="0" w:after="0" w:afterAutospacing="0"/>
              <w:jc w:val="center"/>
              <w:rPr>
                <w:rFonts w:hint="eastAsia" w:cs="宋体"/>
                <w:color w:val="auto"/>
                <w:kern w:val="2"/>
                <w:sz w:val="24"/>
                <w:szCs w:val="24"/>
                <w:lang w:val="en-US" w:eastAsia="zh-CN"/>
              </w:rPr>
            </w:pPr>
            <w:r>
              <w:rPr>
                <w:rFonts w:hint="eastAsia" w:cs="宋体"/>
                <w:color w:val="auto"/>
                <w:kern w:val="2"/>
                <w:sz w:val="24"/>
                <w:szCs w:val="24"/>
                <w:lang w:val="en-US" w:eastAsia="zh-CN"/>
              </w:rPr>
              <w:t>施工</w:t>
            </w:r>
          </w:p>
          <w:p w14:paraId="78182A5C">
            <w:pPr>
              <w:pStyle w:val="16"/>
              <w:adjustRightInd w:val="0"/>
              <w:snapToGrid w:val="0"/>
              <w:spacing w:before="0" w:beforeAutospacing="0" w:after="0" w:afterAutospacing="0"/>
              <w:jc w:val="center"/>
              <w:rPr>
                <w:rFonts w:hint="eastAsia" w:cs="宋体"/>
                <w:color w:val="auto"/>
                <w:kern w:val="2"/>
                <w:sz w:val="24"/>
                <w:szCs w:val="24"/>
                <w:lang w:val="en-US" w:eastAsia="zh-CN"/>
              </w:rPr>
            </w:pPr>
            <w:r>
              <w:rPr>
                <w:rFonts w:hint="eastAsia" w:cs="宋体"/>
                <w:color w:val="auto"/>
                <w:kern w:val="2"/>
                <w:sz w:val="24"/>
                <w:szCs w:val="24"/>
                <w:lang w:val="en-US" w:eastAsia="zh-CN"/>
              </w:rPr>
              <w:t>期环</w:t>
            </w:r>
          </w:p>
          <w:p w14:paraId="170C715C">
            <w:pPr>
              <w:pStyle w:val="16"/>
              <w:adjustRightInd w:val="0"/>
              <w:snapToGrid w:val="0"/>
              <w:spacing w:before="0" w:beforeAutospacing="0" w:after="0" w:afterAutospacing="0"/>
              <w:jc w:val="center"/>
              <w:rPr>
                <w:rFonts w:hint="eastAsia" w:cs="宋体"/>
                <w:color w:val="auto"/>
                <w:kern w:val="2"/>
                <w:sz w:val="24"/>
                <w:szCs w:val="24"/>
                <w:lang w:val="en-US" w:eastAsia="zh-CN"/>
              </w:rPr>
            </w:pPr>
            <w:r>
              <w:rPr>
                <w:rFonts w:hint="eastAsia" w:cs="宋体"/>
                <w:color w:val="auto"/>
                <w:kern w:val="2"/>
                <w:sz w:val="24"/>
                <w:szCs w:val="24"/>
                <w:lang w:val="en-US" w:eastAsia="zh-CN"/>
              </w:rPr>
              <w:t>境保</w:t>
            </w:r>
          </w:p>
          <w:p w14:paraId="5B448AAE">
            <w:pPr>
              <w:pStyle w:val="16"/>
              <w:adjustRightInd w:val="0"/>
              <w:snapToGrid w:val="0"/>
              <w:spacing w:before="0" w:beforeAutospacing="0" w:after="0" w:afterAutospacing="0"/>
              <w:jc w:val="center"/>
              <w:rPr>
                <w:rFonts w:hint="eastAsia" w:cs="宋体"/>
                <w:color w:val="auto"/>
                <w:kern w:val="2"/>
                <w:sz w:val="24"/>
                <w:szCs w:val="24"/>
                <w:lang w:val="en-US" w:eastAsia="zh-CN"/>
              </w:rPr>
            </w:pPr>
            <w:r>
              <w:rPr>
                <w:rFonts w:hint="eastAsia" w:cs="宋体"/>
                <w:color w:val="auto"/>
                <w:kern w:val="2"/>
                <w:sz w:val="24"/>
                <w:szCs w:val="24"/>
                <w:lang w:val="en-US" w:eastAsia="zh-CN"/>
              </w:rPr>
              <w:t>护措</w:t>
            </w:r>
          </w:p>
          <w:p w14:paraId="490ECEB8">
            <w:pPr>
              <w:pStyle w:val="16"/>
              <w:adjustRightInd w:val="0"/>
              <w:snapToGrid w:val="0"/>
              <w:spacing w:before="0" w:beforeAutospacing="0" w:after="0" w:afterAutospacing="0"/>
              <w:jc w:val="center"/>
              <w:rPr>
                <w:rFonts w:hint="eastAsia" w:cs="宋体"/>
                <w:bCs/>
                <w:color w:val="auto"/>
                <w:kern w:val="2"/>
                <w:sz w:val="24"/>
                <w:szCs w:val="24"/>
                <w:lang w:val="en-US" w:eastAsia="zh-CN"/>
              </w:rPr>
            </w:pPr>
            <w:r>
              <w:rPr>
                <w:rFonts w:hint="eastAsia" w:cs="宋体"/>
                <w:color w:val="auto"/>
                <w:kern w:val="2"/>
                <w:sz w:val="24"/>
                <w:szCs w:val="24"/>
                <w:lang w:val="en-US" w:eastAsia="zh-CN"/>
              </w:rPr>
              <w:t>施</w:t>
            </w:r>
          </w:p>
        </w:tc>
        <w:tc>
          <w:tcPr>
            <w:tcW w:w="8654" w:type="dxa"/>
            <w:noWrap w:val="0"/>
            <w:vAlign w:val="center"/>
          </w:tcPr>
          <w:p w14:paraId="4ED07F21">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本项目利用现有厂房进行建设，经安装设备即可投入运行，无土建工程，因此，施工期环境较小</w:t>
            </w:r>
            <w:r>
              <w:rPr>
                <w:rFonts w:hint="default" w:ascii="Times New Roman" w:hAnsi="Times New Roman" w:eastAsia="宋体" w:cs="Times New Roman"/>
                <w:color w:val="000000"/>
                <w:sz w:val="24"/>
                <w:szCs w:val="24"/>
                <w:lang w:val="en-US" w:eastAsia="zh-CN"/>
              </w:rPr>
              <w:t>。</w:t>
            </w:r>
          </w:p>
          <w:p w14:paraId="7661AC85">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sz w:val="24"/>
                <w:szCs w:val="24"/>
                <w:lang w:val="en-US" w:eastAsia="zh-CN"/>
              </w:rPr>
              <w:t>废气</w:t>
            </w:r>
          </w:p>
          <w:p w14:paraId="4249095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现有厂房为空置，施工期仅进行新设备安装，现有厂区已做硬化，无土建工程量，施工期1个月，扬尘量很小；另有少量运输车辆尾气，不做定量分析。</w:t>
            </w:r>
          </w:p>
          <w:p w14:paraId="08C85980">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2、废水</w:t>
            </w:r>
          </w:p>
          <w:p w14:paraId="55AA8DA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施工期无生产废水，施工人员平均每日按10人计，生活用水量按75L/人•d 计，项目建设期为1个月，用水总量约为22.5t。生活污水产生量按用水量的80%计，则废水产生量为18t，废水中主要污染物为 COD、BOD</w:t>
            </w:r>
            <w:r>
              <w:rPr>
                <w:rFonts w:hint="default" w:ascii="Times New Roman" w:hAnsi="Times New Roman" w:eastAsia="宋体" w:cs="Times New Roman"/>
                <w:kern w:val="2"/>
                <w:sz w:val="24"/>
                <w:szCs w:val="24"/>
                <w:vertAlign w:val="subscript"/>
                <w:lang w:val="en-US" w:eastAsia="zh-CN" w:bidi="ar-SA"/>
              </w:rPr>
              <w:t>5</w:t>
            </w:r>
            <w:r>
              <w:rPr>
                <w:rFonts w:hint="default" w:ascii="Times New Roman" w:hAnsi="Times New Roman" w:eastAsia="宋体" w:cs="Times New Roman"/>
                <w:kern w:val="2"/>
                <w:sz w:val="24"/>
                <w:szCs w:val="24"/>
                <w:lang w:val="en-US" w:eastAsia="zh-CN" w:bidi="ar-SA"/>
              </w:rPr>
              <w:t>、SS、NH</w:t>
            </w:r>
            <w:r>
              <w:rPr>
                <w:rFonts w:hint="default"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lang w:val="en-US" w:eastAsia="zh-CN" w:bidi="ar-SA"/>
              </w:rPr>
              <w:t>-N，排入厂区现有化粪池，排入管网进入调兵山城市污水处理厂处理。</w:t>
            </w:r>
          </w:p>
          <w:p w14:paraId="2B605E9C">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噪声</w:t>
            </w:r>
          </w:p>
          <w:p w14:paraId="314A6022">
            <w:pPr>
              <w:pStyle w:val="2"/>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施工过程中主要噪声源为施工机械设备，吊装机、运载机设备运行噪声，噪声强度80-90分贝。</w:t>
            </w:r>
          </w:p>
          <w:p w14:paraId="587BCA29">
            <w:pPr>
              <w:pStyle w:val="17"/>
              <w:spacing w:line="480" w:lineRule="exact"/>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eastAsia="宋体" w:cs="Times New Roman"/>
                <w:b/>
                <w:color w:val="auto"/>
                <w:sz w:val="21"/>
                <w:szCs w:val="21"/>
                <w:highlight w:val="none"/>
                <w:lang w:val="en-US" w:eastAsia="zh-CN"/>
              </w:rPr>
              <w:t>4-1</w:t>
            </w:r>
            <w:r>
              <w:rPr>
                <w:rFonts w:hint="default" w:ascii="Times New Roman" w:hAnsi="Times New Roman" w:eastAsia="宋体" w:cs="Times New Roman"/>
                <w:b/>
                <w:color w:val="auto"/>
                <w:sz w:val="21"/>
                <w:szCs w:val="21"/>
                <w:highlight w:val="none"/>
              </w:rPr>
              <w:t xml:space="preserve">   施工噪声随距离的衰减值</w:t>
            </w:r>
          </w:p>
          <w:tbl>
            <w:tblPr>
              <w:tblStyle w:val="1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044"/>
              <w:gridCol w:w="798"/>
              <w:gridCol w:w="799"/>
              <w:gridCol w:w="799"/>
              <w:gridCol w:w="799"/>
              <w:gridCol w:w="799"/>
              <w:gridCol w:w="799"/>
              <w:gridCol w:w="799"/>
              <w:gridCol w:w="800"/>
            </w:tblGrid>
            <w:tr w14:paraId="221CBE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1" w:type="pct"/>
                  <w:noWrap w:val="0"/>
                  <w:vAlign w:val="center"/>
                </w:tcPr>
                <w:p w14:paraId="5DDB01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距离（m）</w:t>
                  </w:r>
                </w:p>
              </w:tc>
              <w:tc>
                <w:tcPr>
                  <w:tcW w:w="473" w:type="pct"/>
                  <w:noWrap w:val="0"/>
                  <w:vAlign w:val="center"/>
                </w:tcPr>
                <w:p w14:paraId="19DF13A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473" w:type="pct"/>
                  <w:noWrap w:val="0"/>
                  <w:vAlign w:val="center"/>
                </w:tcPr>
                <w:p w14:paraId="168B7E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473" w:type="pct"/>
                  <w:noWrap w:val="0"/>
                  <w:vAlign w:val="center"/>
                </w:tcPr>
                <w:p w14:paraId="5284FF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473" w:type="pct"/>
                  <w:noWrap w:val="0"/>
                  <w:vAlign w:val="center"/>
                </w:tcPr>
                <w:p w14:paraId="56A727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60</w:t>
                  </w:r>
                </w:p>
              </w:tc>
              <w:tc>
                <w:tcPr>
                  <w:tcW w:w="473" w:type="pct"/>
                  <w:noWrap w:val="0"/>
                  <w:vAlign w:val="center"/>
                </w:tcPr>
                <w:p w14:paraId="238188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100</w:t>
                  </w:r>
                </w:p>
              </w:tc>
              <w:tc>
                <w:tcPr>
                  <w:tcW w:w="473" w:type="pct"/>
                  <w:noWrap w:val="0"/>
                  <w:vAlign w:val="center"/>
                </w:tcPr>
                <w:p w14:paraId="3DCC59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150</w:t>
                  </w:r>
                </w:p>
              </w:tc>
              <w:tc>
                <w:tcPr>
                  <w:tcW w:w="473" w:type="pct"/>
                  <w:noWrap w:val="0"/>
                  <w:vAlign w:val="center"/>
                </w:tcPr>
                <w:p w14:paraId="1EA4CC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200</w:t>
                  </w:r>
                </w:p>
              </w:tc>
              <w:tc>
                <w:tcPr>
                  <w:tcW w:w="474" w:type="pct"/>
                  <w:noWrap w:val="0"/>
                  <w:vAlign w:val="center"/>
                </w:tcPr>
                <w:p w14:paraId="68766F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250</w:t>
                  </w:r>
                </w:p>
              </w:tc>
            </w:tr>
            <w:tr w14:paraId="0A38E8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211" w:type="pct"/>
                  <w:noWrap w:val="0"/>
                  <w:vAlign w:val="center"/>
                </w:tcPr>
                <w:p w14:paraId="056F39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噪声值（dB（A））</w:t>
                  </w:r>
                </w:p>
              </w:tc>
              <w:tc>
                <w:tcPr>
                  <w:tcW w:w="473" w:type="pct"/>
                  <w:noWrap w:val="0"/>
                  <w:vAlign w:val="center"/>
                </w:tcPr>
                <w:p w14:paraId="1E484D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90</w:t>
                  </w:r>
                </w:p>
              </w:tc>
              <w:tc>
                <w:tcPr>
                  <w:tcW w:w="473" w:type="pct"/>
                  <w:noWrap w:val="0"/>
                  <w:vAlign w:val="center"/>
                </w:tcPr>
                <w:p w14:paraId="011574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70</w:t>
                  </w:r>
                </w:p>
              </w:tc>
              <w:tc>
                <w:tcPr>
                  <w:tcW w:w="473" w:type="pct"/>
                  <w:noWrap w:val="0"/>
                  <w:vAlign w:val="center"/>
                </w:tcPr>
                <w:p w14:paraId="12544C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56</w:t>
                  </w:r>
                </w:p>
              </w:tc>
              <w:tc>
                <w:tcPr>
                  <w:tcW w:w="473" w:type="pct"/>
                  <w:noWrap w:val="0"/>
                  <w:vAlign w:val="center"/>
                </w:tcPr>
                <w:p w14:paraId="23B6C2E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54</w:t>
                  </w:r>
                </w:p>
              </w:tc>
              <w:tc>
                <w:tcPr>
                  <w:tcW w:w="473" w:type="pct"/>
                  <w:noWrap w:val="0"/>
                  <w:vAlign w:val="center"/>
                </w:tcPr>
                <w:p w14:paraId="389430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50</w:t>
                  </w:r>
                </w:p>
              </w:tc>
              <w:tc>
                <w:tcPr>
                  <w:tcW w:w="473" w:type="pct"/>
                  <w:noWrap w:val="0"/>
                  <w:vAlign w:val="center"/>
                </w:tcPr>
                <w:p w14:paraId="679C5C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46</w:t>
                  </w:r>
                </w:p>
              </w:tc>
              <w:tc>
                <w:tcPr>
                  <w:tcW w:w="473" w:type="pct"/>
                  <w:noWrap w:val="0"/>
                  <w:vAlign w:val="center"/>
                </w:tcPr>
                <w:p w14:paraId="3365FE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44</w:t>
                  </w:r>
                </w:p>
              </w:tc>
              <w:tc>
                <w:tcPr>
                  <w:tcW w:w="474" w:type="pct"/>
                  <w:noWrap w:val="0"/>
                  <w:vAlign w:val="center"/>
                </w:tcPr>
                <w:p w14:paraId="6BCC9C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42</w:t>
                  </w:r>
                </w:p>
              </w:tc>
            </w:tr>
          </w:tbl>
          <w:p w14:paraId="2F45254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由表4-1中计算结果可知，白天施工机械噪声影响超标区域在10m范围以内，将施工主要产噪机械远离厂界布置，经过厂房隔声</w:t>
            </w:r>
            <w:r>
              <w:rPr>
                <w:rFonts w:hint="eastAsia" w:cs="Times New Roman"/>
                <w:kern w:val="2"/>
                <w:sz w:val="24"/>
                <w:szCs w:val="24"/>
                <w:lang w:val="en-US" w:eastAsia="zh-CN" w:bidi="ar-SA"/>
              </w:rPr>
              <w:t>、减振以及距离衰减</w:t>
            </w:r>
            <w:r>
              <w:rPr>
                <w:rFonts w:hint="default" w:ascii="Times New Roman" w:hAnsi="Times New Roman" w:eastAsia="宋体" w:cs="Times New Roman"/>
                <w:kern w:val="2"/>
                <w:sz w:val="24"/>
                <w:szCs w:val="24"/>
                <w:lang w:val="en-US" w:eastAsia="zh-CN" w:bidi="ar-SA"/>
              </w:rPr>
              <w:t xml:space="preserve">，可达标排放。 </w:t>
            </w:r>
          </w:p>
          <w:p w14:paraId="33344FA5">
            <w:pPr>
              <w:pStyle w:val="16"/>
              <w:numPr>
                <w:ilvl w:val="0"/>
                <w:numId w:val="0"/>
              </w:numPr>
              <w:adjustRightInd w:val="0"/>
              <w:snapToGrid w:val="0"/>
              <w:spacing w:before="0" w:beforeAutospacing="0" w:after="0" w:afterAutospacing="0" w:line="360" w:lineRule="auto"/>
              <w:ind w:left="0" w:leftChars="0" w:firstLine="0" w:firstLineChars="0"/>
              <w:rPr>
                <w:rFonts w:hint="default" w:ascii="Times New Roman" w:hAnsi="Times New Roman" w:cs="Times New Roman"/>
                <w:lang w:val="en-US" w:eastAsia="zh-CN"/>
              </w:rPr>
            </w:pPr>
            <w:r>
              <w:rPr>
                <w:rFonts w:hint="default" w:ascii="Times New Roman" w:hAnsi="Times New Roman" w:cs="Times New Roman"/>
                <w:kern w:val="0"/>
                <w:sz w:val="24"/>
                <w:szCs w:val="20"/>
                <w:lang w:val="en-US" w:eastAsia="zh-CN" w:bidi="ar-SA"/>
              </w:rPr>
              <w:t>4、</w:t>
            </w:r>
            <w:r>
              <w:rPr>
                <w:rFonts w:hint="default" w:ascii="Times New Roman" w:hAnsi="Times New Roman" w:cs="Times New Roman"/>
                <w:lang w:val="en-US" w:eastAsia="zh-CN"/>
              </w:rPr>
              <w:t>固体废物</w:t>
            </w:r>
          </w:p>
          <w:p w14:paraId="280FB036">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lang w:val="en-US" w:eastAsia="zh-CN"/>
              </w:rPr>
            </w:pPr>
            <w:r>
              <w:rPr>
                <w:rFonts w:hint="default" w:ascii="Times New Roman" w:hAnsi="Times New Roman" w:eastAsia="宋体" w:cs="Times New Roman"/>
                <w:kern w:val="2"/>
                <w:sz w:val="24"/>
                <w:szCs w:val="24"/>
                <w:lang w:val="en-US" w:eastAsia="zh-CN" w:bidi="ar-SA"/>
              </w:rPr>
              <w:t>施工期固体废物主要为施工人员产生的生活垃圾。施工人员10人，施工期1个月，生活垃圾产生量0.5kg/d·人，整个施工期产生量0.15t，分类后送至指定地点由环卫部门定期清运处置。</w:t>
            </w:r>
          </w:p>
        </w:tc>
      </w:tr>
      <w:tr w14:paraId="2000A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noWrap w:val="0"/>
            <w:tcMar>
              <w:left w:w="28" w:type="dxa"/>
              <w:right w:w="28" w:type="dxa"/>
            </w:tcMar>
            <w:vAlign w:val="center"/>
          </w:tcPr>
          <w:p w14:paraId="281CC9D3">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运营</w:t>
            </w:r>
          </w:p>
          <w:p w14:paraId="38312319">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期环</w:t>
            </w:r>
          </w:p>
          <w:p w14:paraId="3D916C3D">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境影</w:t>
            </w:r>
          </w:p>
          <w:p w14:paraId="09A5E540">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响和</w:t>
            </w:r>
          </w:p>
          <w:p w14:paraId="259B3EAB">
            <w:pPr>
              <w:adjustRightInd w:val="0"/>
              <w:snapToGrid w:val="0"/>
              <w:jc w:val="center"/>
              <w:rPr>
                <w:rFonts w:hint="eastAsia" w:ascii="宋体" w:hAnsi="宋体" w:cs="宋体"/>
                <w:bCs/>
                <w:color w:val="auto"/>
                <w:sz w:val="24"/>
                <w:szCs w:val="24"/>
              </w:rPr>
            </w:pPr>
            <w:r>
              <w:rPr>
                <w:rFonts w:hint="eastAsia" w:ascii="宋体" w:hAnsi="宋体" w:cs="宋体"/>
                <w:bCs/>
                <w:color w:val="auto"/>
                <w:sz w:val="24"/>
                <w:szCs w:val="24"/>
              </w:rPr>
              <w:t>保护</w:t>
            </w:r>
          </w:p>
          <w:p w14:paraId="1F07ACFC">
            <w:pPr>
              <w:adjustRightInd w:val="0"/>
              <w:snapToGrid w:val="0"/>
              <w:jc w:val="center"/>
              <w:rPr>
                <w:rFonts w:ascii="宋体" w:hAnsi="宋体" w:cs="宋体"/>
                <w:bCs/>
                <w:color w:val="auto"/>
                <w:sz w:val="24"/>
                <w:szCs w:val="24"/>
              </w:rPr>
            </w:pPr>
            <w:r>
              <w:rPr>
                <w:rFonts w:hint="eastAsia" w:ascii="宋体" w:hAnsi="宋体" w:cs="宋体"/>
                <w:bCs/>
                <w:color w:val="auto"/>
                <w:sz w:val="24"/>
                <w:szCs w:val="24"/>
              </w:rPr>
              <w:t>措施</w:t>
            </w:r>
          </w:p>
        </w:tc>
        <w:tc>
          <w:tcPr>
            <w:tcW w:w="8654" w:type="dxa"/>
            <w:noWrap w:val="0"/>
            <w:vAlign w:val="center"/>
          </w:tcPr>
          <w:p w14:paraId="1543198B">
            <w:pPr>
              <w:keepNext w:val="0"/>
              <w:keepLines w:val="0"/>
              <w:pageBreakBefore w:val="0"/>
              <w:numPr>
                <w:ilvl w:val="0"/>
                <w:numId w:val="0"/>
              </w:numPr>
              <w:kinsoku/>
              <w:wordWrap/>
              <w:overflowPunct/>
              <w:topLinePunct w:val="0"/>
              <w:autoSpaceDE/>
              <w:autoSpaceDN/>
              <w:bidi w:val="0"/>
              <w:adjustRightInd w:val="0"/>
              <w:snapToGrid w:val="0"/>
              <w:spacing w:line="360" w:lineRule="auto"/>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废气</w:t>
            </w:r>
          </w:p>
          <w:p w14:paraId="7BD561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（1）废气污染物排放源</w:t>
            </w:r>
          </w:p>
          <w:p w14:paraId="41FB7327">
            <w:pPr>
              <w:pStyle w:val="2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hint="eastAsia"/>
                <w:lang w:val="en-US" w:eastAsia="zh-CN"/>
              </w:rPr>
              <w:t>项目营运期钻孔、磨边均采用湿27法工艺，钻孔、磨边时喷水抑尘并冷却磨轮，产生的石英粉末全部随冲洗水进入沉淀池，不会产生粉尘。玻璃钢化工序采用电加热，不发生化学反应，仅为玻璃物理结构性质的变化，无大气污染物产生。</w:t>
            </w:r>
          </w:p>
          <w:p w14:paraId="4C472770">
            <w:pPr>
              <w:keepNext w:val="0"/>
              <w:keepLines w:val="0"/>
              <w:pageBreakBefore w:val="0"/>
              <w:kinsoku/>
              <w:wordWrap/>
              <w:overflowPunct/>
              <w:topLinePunct w:val="0"/>
              <w:autoSpaceDE/>
              <w:autoSpaceDN/>
              <w:bidi w:val="0"/>
              <w:adjustRightInd w:val="0"/>
              <w:snapToGrid w:val="0"/>
              <w:spacing w:line="360" w:lineRule="auto"/>
              <w:ind w:firstLine="408"/>
              <w:rPr>
                <w:rFonts w:hint="default" w:ascii="Times New Roman" w:hAnsi="Times New Roman" w:eastAsia="宋体" w:cs="Times New Roman"/>
                <w:color w:val="auto"/>
                <w:kern w:val="0"/>
                <w:sz w:val="24"/>
                <w:szCs w:val="24"/>
                <w:lang w:val="en-US"/>
              </w:rPr>
            </w:pPr>
            <w:r>
              <w:rPr>
                <w:rFonts w:hint="eastAsia" w:cs="Times New Roman"/>
                <w:color w:val="auto"/>
                <w:kern w:val="0"/>
                <w:sz w:val="24"/>
                <w:szCs w:val="24"/>
                <w:lang w:val="en-US" w:eastAsia="zh-CN"/>
              </w:rPr>
              <w:t>根据工程分析和产品工艺流程，本项目废气主要为丁基胶涂胶工序，及双组分硅酮胶调胶、封胶工序</w:t>
            </w:r>
            <w:r>
              <w:rPr>
                <w:rFonts w:hint="eastAsia" w:ascii="宋体" w:hAnsi="宋体" w:cs="宋体"/>
                <w:color w:val="auto"/>
                <w:sz w:val="24"/>
                <w:lang w:val="en-US" w:eastAsia="zh-CN"/>
              </w:rPr>
              <w:t>产生的有机</w:t>
            </w:r>
            <w:r>
              <w:rPr>
                <w:rFonts w:hint="eastAsia" w:ascii="宋体" w:hAnsi="宋体" w:eastAsia="宋体" w:cs="宋体"/>
                <w:color w:val="auto"/>
                <w:sz w:val="24"/>
              </w:rPr>
              <w:t>废气</w:t>
            </w:r>
            <w:r>
              <w:rPr>
                <w:rFonts w:hint="eastAsia" w:ascii="宋体" w:hAnsi="宋体" w:cs="宋体"/>
                <w:color w:val="auto"/>
                <w:sz w:val="24"/>
                <w:lang w:eastAsia="zh-CN"/>
              </w:rPr>
              <w:t>（</w:t>
            </w:r>
            <w:r>
              <w:rPr>
                <w:rFonts w:hint="eastAsia" w:ascii="宋体" w:hAnsi="宋体" w:cs="宋体"/>
                <w:color w:val="auto"/>
                <w:sz w:val="24"/>
                <w:lang w:val="en-US" w:eastAsia="zh-CN"/>
              </w:rPr>
              <w:t>本项目以非甲烷总烃计）。</w:t>
            </w:r>
          </w:p>
          <w:p w14:paraId="2C924C90">
            <w:pPr>
              <w:pStyle w:val="55"/>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 w:val="0"/>
                <w:bCs/>
                <w:sz w:val="24"/>
                <w:szCs w:val="24"/>
                <w:lang w:val="en-US" w:eastAsia="zh-CN"/>
              </w:rPr>
            </w:pPr>
            <w:r>
              <w:rPr>
                <w:rFonts w:hint="eastAsia" w:cs="Times New Roman"/>
                <w:color w:val="auto"/>
                <w:sz w:val="24"/>
                <w:szCs w:val="22"/>
                <w:lang w:val="en-US" w:eastAsia="zh-CN"/>
              </w:rPr>
              <w:t>本项目设置</w:t>
            </w:r>
            <w:r>
              <w:rPr>
                <w:rFonts w:hint="eastAsia" w:ascii="Times New Roman" w:hAnsi="Times New Roman" w:eastAsia="宋体"/>
                <w:b w:val="0"/>
                <w:bCs/>
                <w:sz w:val="24"/>
                <w:szCs w:val="24"/>
                <w:lang w:val="en-US" w:eastAsia="zh-CN"/>
              </w:rPr>
              <w:t>中空玻璃生产线</w:t>
            </w:r>
            <w:r>
              <w:rPr>
                <w:rFonts w:hint="eastAsia"/>
                <w:b w:val="0"/>
                <w:bCs/>
                <w:sz w:val="24"/>
                <w:szCs w:val="24"/>
                <w:lang w:val="en-US" w:eastAsia="zh-CN"/>
              </w:rPr>
              <w:t>1</w:t>
            </w:r>
            <w:r>
              <w:rPr>
                <w:rFonts w:hint="eastAsia" w:ascii="Times New Roman" w:hAnsi="Times New Roman" w:eastAsia="宋体"/>
                <w:b w:val="0"/>
                <w:bCs/>
                <w:sz w:val="24"/>
                <w:szCs w:val="24"/>
                <w:lang w:val="en-US" w:eastAsia="zh-CN"/>
              </w:rPr>
              <w:t>条，</w:t>
            </w:r>
            <w:r>
              <w:rPr>
                <w:rFonts w:hint="eastAsia"/>
                <w:b w:val="0"/>
                <w:bCs/>
                <w:sz w:val="24"/>
                <w:szCs w:val="24"/>
                <w:lang w:val="en-US" w:eastAsia="zh-CN"/>
              </w:rPr>
              <w:t>涂胶</w:t>
            </w:r>
            <w:r>
              <w:rPr>
                <w:rFonts w:hint="eastAsia" w:ascii="Times New Roman" w:hAnsi="Times New Roman" w:eastAsia="宋体"/>
                <w:b w:val="0"/>
                <w:bCs/>
                <w:sz w:val="24"/>
                <w:szCs w:val="24"/>
                <w:lang w:val="en-US" w:eastAsia="zh-CN"/>
              </w:rPr>
              <w:t>过程中产生挥发性有机气体：中空玻璃制作中，使用中空玻璃</w:t>
            </w:r>
            <w:r>
              <w:rPr>
                <w:rFonts w:hint="eastAsia"/>
                <w:b w:val="0"/>
                <w:bCs/>
                <w:sz w:val="24"/>
                <w:szCs w:val="24"/>
                <w:lang w:val="en-US" w:eastAsia="zh-CN"/>
              </w:rPr>
              <w:t>丁基胶</w:t>
            </w:r>
            <w:r>
              <w:rPr>
                <w:rFonts w:hint="eastAsia" w:ascii="Times New Roman" w:hAnsi="Times New Roman" w:eastAsia="宋体"/>
                <w:b w:val="0"/>
                <w:bCs/>
                <w:sz w:val="24"/>
                <w:szCs w:val="24"/>
                <w:lang w:val="en-US" w:eastAsia="zh-CN"/>
              </w:rPr>
              <w:t>做第一道密封胶</w:t>
            </w:r>
            <w:r>
              <w:rPr>
                <w:rFonts w:hint="eastAsia"/>
                <w:b w:val="0"/>
                <w:bCs/>
                <w:sz w:val="24"/>
                <w:szCs w:val="24"/>
                <w:lang w:val="en-US" w:eastAsia="zh-CN"/>
              </w:rPr>
              <w:t>，</w:t>
            </w:r>
            <w:r>
              <w:rPr>
                <w:rFonts w:hint="eastAsia" w:ascii="Times New Roman" w:hAnsi="Times New Roman" w:eastAsia="宋体"/>
                <w:b w:val="0"/>
                <w:bCs/>
                <w:sz w:val="24"/>
                <w:szCs w:val="24"/>
                <w:lang w:val="en-US" w:eastAsia="zh-CN"/>
              </w:rPr>
              <w:t>丁基胶使用时需在</w:t>
            </w:r>
            <w:r>
              <w:rPr>
                <w:rFonts w:hint="eastAsia"/>
                <w:b w:val="0"/>
                <w:bCs/>
                <w:sz w:val="24"/>
                <w:szCs w:val="24"/>
                <w:lang w:val="en-US" w:eastAsia="zh-CN"/>
              </w:rPr>
              <w:t>涂胶机</w:t>
            </w:r>
            <w:r>
              <w:rPr>
                <w:rFonts w:hint="eastAsia" w:ascii="Times New Roman" w:hAnsi="Times New Roman" w:eastAsia="宋体"/>
                <w:b w:val="0"/>
                <w:bCs/>
                <w:sz w:val="24"/>
                <w:szCs w:val="24"/>
                <w:lang w:val="en-US" w:eastAsia="zh-CN"/>
              </w:rPr>
              <w:t>胶缸内加热熔融</w:t>
            </w:r>
            <w:r>
              <w:rPr>
                <w:rFonts w:hint="eastAsia"/>
                <w:b w:val="0"/>
                <w:bCs/>
                <w:sz w:val="24"/>
                <w:szCs w:val="24"/>
                <w:highlight w:val="none"/>
                <w:lang w:val="en-US" w:eastAsia="zh-CN"/>
              </w:rPr>
              <w:t>，将丁基胶加热至100℃～130℃，使丁基胶呈流体态</w:t>
            </w:r>
            <w:r>
              <w:rPr>
                <w:rFonts w:hint="eastAsia" w:ascii="Times New Roman" w:hAnsi="Times New Roman" w:eastAsia="宋体"/>
                <w:b w:val="0"/>
                <w:bCs/>
                <w:sz w:val="24"/>
                <w:szCs w:val="24"/>
                <w:highlight w:val="none"/>
                <w:lang w:val="en-US" w:eastAsia="zh-CN"/>
              </w:rPr>
              <w:t>，然后进行涂胶。根据</w:t>
            </w:r>
            <w:r>
              <w:rPr>
                <w:rFonts w:hint="eastAsia"/>
                <w:b w:val="0"/>
                <w:bCs/>
                <w:sz w:val="24"/>
                <w:szCs w:val="24"/>
                <w:highlight w:val="none"/>
                <w:lang w:val="en-US" w:eastAsia="zh-CN"/>
              </w:rPr>
              <w:t>附件7检测报告</w:t>
            </w:r>
            <w:r>
              <w:rPr>
                <w:rFonts w:hint="eastAsia" w:ascii="Times New Roman" w:hAnsi="Times New Roman" w:eastAsia="宋体"/>
                <w:b w:val="0"/>
                <w:bCs/>
                <w:sz w:val="24"/>
                <w:szCs w:val="24"/>
                <w:highlight w:val="none"/>
                <w:lang w:val="en-US" w:eastAsia="zh-CN"/>
              </w:rPr>
              <w:t>，</w:t>
            </w:r>
            <w:r>
              <w:rPr>
                <w:rFonts w:hint="eastAsia"/>
                <w:b w:val="0"/>
                <w:bCs/>
                <w:sz w:val="24"/>
                <w:szCs w:val="24"/>
                <w:highlight w:val="none"/>
                <w:lang w:val="en-US" w:eastAsia="zh-CN"/>
              </w:rPr>
              <w:t>丁基胶热失重为</w:t>
            </w:r>
            <w:r>
              <w:rPr>
                <w:rFonts w:hint="eastAsia" w:eastAsia="微软雅黑" w:cs="Times New Roman"/>
                <w:b w:val="0"/>
                <w:bCs/>
                <w:sz w:val="24"/>
                <w:szCs w:val="24"/>
                <w:highlight w:val="none"/>
                <w:lang w:val="en-US" w:eastAsia="zh-CN"/>
              </w:rPr>
              <w:t>0.65</w:t>
            </w:r>
            <w:r>
              <w:rPr>
                <w:rFonts w:hint="eastAsia" w:ascii="Times New Roman" w:hAnsi="Times New Roman" w:eastAsia="宋体"/>
                <w:b w:val="0"/>
                <w:bCs/>
                <w:sz w:val="24"/>
                <w:szCs w:val="24"/>
                <w:highlight w:val="none"/>
                <w:lang w:val="en-US" w:eastAsia="zh-CN"/>
              </w:rPr>
              <w:t>%，按最不利情况将热失重部分全部视为</w:t>
            </w:r>
            <w:r>
              <w:rPr>
                <w:rFonts w:hint="eastAsia"/>
                <w:b w:val="0"/>
                <w:bCs/>
                <w:sz w:val="24"/>
                <w:szCs w:val="24"/>
                <w:highlight w:val="none"/>
                <w:lang w:val="en-US" w:eastAsia="zh-CN"/>
              </w:rPr>
              <w:t>以</w:t>
            </w:r>
            <w:r>
              <w:rPr>
                <w:rFonts w:hint="eastAsia" w:ascii="Times New Roman" w:hAnsi="Times New Roman" w:eastAsia="宋体"/>
                <w:b w:val="0"/>
                <w:bCs/>
                <w:sz w:val="24"/>
                <w:szCs w:val="24"/>
                <w:highlight w:val="none"/>
                <w:lang w:val="en-US" w:eastAsia="zh-CN"/>
              </w:rPr>
              <w:t>挥发</w:t>
            </w:r>
            <w:r>
              <w:rPr>
                <w:rFonts w:hint="eastAsia"/>
                <w:b w:val="0"/>
                <w:bCs/>
                <w:sz w:val="24"/>
                <w:szCs w:val="24"/>
                <w:highlight w:val="none"/>
                <w:lang w:val="en-US" w:eastAsia="zh-CN"/>
              </w:rPr>
              <w:t>性</w:t>
            </w:r>
            <w:r>
              <w:rPr>
                <w:rFonts w:hint="eastAsia" w:ascii="Times New Roman" w:hAnsi="Times New Roman" w:eastAsia="宋体"/>
                <w:b w:val="0"/>
                <w:bCs/>
                <w:sz w:val="24"/>
                <w:szCs w:val="24"/>
                <w:highlight w:val="none"/>
                <w:lang w:val="en-US" w:eastAsia="zh-CN"/>
              </w:rPr>
              <w:t>有机废气</w:t>
            </w:r>
            <w:r>
              <w:rPr>
                <w:rFonts w:hint="eastAsia"/>
                <w:b w:val="0"/>
                <w:bCs/>
                <w:sz w:val="24"/>
                <w:szCs w:val="24"/>
                <w:highlight w:val="none"/>
                <w:lang w:val="en-US" w:eastAsia="zh-CN"/>
              </w:rPr>
              <w:t>形式挥发（以非甲烷总烃计）</w:t>
            </w:r>
            <w:r>
              <w:rPr>
                <w:rFonts w:hint="eastAsia" w:ascii="Times New Roman" w:hAnsi="Times New Roman" w:eastAsia="宋体"/>
                <w:b w:val="0"/>
                <w:bCs/>
                <w:sz w:val="24"/>
                <w:szCs w:val="24"/>
                <w:highlight w:val="none"/>
                <w:lang w:val="en-US" w:eastAsia="zh-CN"/>
              </w:rPr>
              <w:t>。</w:t>
            </w:r>
            <w:r>
              <w:rPr>
                <w:rFonts w:hint="eastAsia"/>
                <w:b w:val="0"/>
                <w:bCs/>
                <w:sz w:val="24"/>
                <w:szCs w:val="24"/>
                <w:highlight w:val="none"/>
                <w:lang w:val="en-US" w:eastAsia="zh-CN"/>
              </w:rPr>
              <w:t>根据建设单位提供资料，项目中空玻璃生产线丁基胶使用量约为3.2t/a，则第一道丁基胶涂胶工序，中空玻璃生产线非甲烷总烃产生量为0.021t/a。项目采用双组份硅酮密封胶做第二道密封胶，根据附件6检测报告，</w:t>
            </w:r>
            <w:r>
              <w:rPr>
                <w:rFonts w:hint="eastAsia" w:cs="Times New Roman"/>
                <w:b w:val="0"/>
                <w:bCs/>
                <w:sz w:val="24"/>
                <w:szCs w:val="24"/>
                <w:highlight w:val="none"/>
                <w:lang w:val="en-US" w:eastAsia="zh-CN"/>
              </w:rPr>
              <w:t>本项目</w:t>
            </w:r>
            <w:r>
              <w:rPr>
                <w:rFonts w:hint="eastAsia" w:cs="Times New Roman"/>
                <w:b w:val="0"/>
                <w:bCs/>
                <w:sz w:val="24"/>
                <w:szCs w:val="24"/>
                <w:lang w:val="en-US" w:eastAsia="zh-CN"/>
              </w:rPr>
              <w:t>使用的双组分硅酮密封胶</w:t>
            </w:r>
            <w:r>
              <w:rPr>
                <w:rFonts w:hint="default" w:ascii="Times New Roman" w:hAnsi="Times New Roman" w:eastAsia="宋体" w:cs="Times New Roman"/>
                <w:b w:val="0"/>
                <w:bCs/>
                <w:sz w:val="24"/>
                <w:szCs w:val="24"/>
                <w:lang w:val="en-US" w:eastAsia="zh-CN"/>
              </w:rPr>
              <w:t>热失重</w:t>
            </w:r>
            <w:r>
              <w:rPr>
                <w:rFonts w:hint="eastAsia" w:cs="Times New Roman"/>
                <w:b w:val="0"/>
                <w:bCs/>
                <w:sz w:val="24"/>
                <w:szCs w:val="24"/>
                <w:lang w:val="en-US" w:eastAsia="zh-CN"/>
              </w:rPr>
              <w:t>为2.8%</w:t>
            </w:r>
            <w:r>
              <w:rPr>
                <w:rFonts w:hint="default" w:ascii="Times New Roman" w:hAnsi="Times New Roman" w:eastAsia="宋体" w:cs="Times New Roman"/>
                <w:b w:val="0"/>
                <w:bCs/>
                <w:sz w:val="24"/>
                <w:szCs w:val="24"/>
                <w:lang w:val="en-US" w:eastAsia="zh-CN"/>
              </w:rPr>
              <w:t>。项目</w:t>
            </w:r>
            <w:r>
              <w:rPr>
                <w:rFonts w:hint="default" w:ascii="Times New Roman" w:hAnsi="Times New Roman" w:eastAsia="宋体" w:cs="Times New Roman"/>
                <w:b w:val="0"/>
                <w:bCs/>
                <w:color w:val="auto"/>
                <w:sz w:val="24"/>
                <w:szCs w:val="24"/>
                <w:lang w:val="en-US" w:eastAsia="zh-CN"/>
              </w:rPr>
              <w:t>中空玻璃生产线</w:t>
            </w:r>
            <w:r>
              <w:rPr>
                <w:rFonts w:hint="eastAsia" w:cs="Times New Roman"/>
                <w:b w:val="0"/>
                <w:bCs/>
                <w:color w:val="auto"/>
                <w:sz w:val="24"/>
                <w:szCs w:val="24"/>
                <w:lang w:val="en-US" w:eastAsia="zh-CN"/>
              </w:rPr>
              <w:t>硅酮</w:t>
            </w:r>
            <w:r>
              <w:rPr>
                <w:rFonts w:hint="eastAsia" w:cs="Times New Roman"/>
                <w:b w:val="0"/>
                <w:bCs/>
                <w:color w:val="auto"/>
                <w:sz w:val="24"/>
                <w:szCs w:val="24"/>
                <w:highlight w:val="none"/>
                <w:lang w:val="en-US" w:eastAsia="zh-CN"/>
              </w:rPr>
              <w:t>胶</w:t>
            </w:r>
            <w:r>
              <w:rPr>
                <w:rFonts w:hint="default" w:ascii="Times New Roman" w:hAnsi="Times New Roman" w:eastAsia="宋体" w:cs="Times New Roman"/>
                <w:b w:val="0"/>
                <w:bCs/>
                <w:color w:val="auto"/>
                <w:sz w:val="24"/>
                <w:szCs w:val="24"/>
                <w:highlight w:val="none"/>
                <w:lang w:val="en-US" w:eastAsia="zh-CN"/>
              </w:rPr>
              <w:t>使用</w:t>
            </w:r>
            <w:r>
              <w:rPr>
                <w:rFonts w:hint="eastAsia"/>
                <w:b w:val="0"/>
                <w:bCs/>
                <w:color w:val="auto"/>
                <w:sz w:val="24"/>
                <w:szCs w:val="24"/>
                <w:highlight w:val="none"/>
                <w:lang w:val="en-US" w:eastAsia="zh-CN"/>
              </w:rPr>
              <w:t>量为40t/a，</w:t>
            </w:r>
            <w:r>
              <w:rPr>
                <w:rFonts w:hint="eastAsia" w:ascii="Times New Roman" w:hAnsi="Times New Roman" w:eastAsia="宋体"/>
                <w:b w:val="0"/>
                <w:bCs/>
                <w:sz w:val="24"/>
                <w:szCs w:val="24"/>
                <w:highlight w:val="none"/>
                <w:lang w:val="en-US" w:eastAsia="zh-CN"/>
              </w:rPr>
              <w:t>按最不利情况将热失重部分全部视为</w:t>
            </w:r>
            <w:r>
              <w:rPr>
                <w:rFonts w:hint="eastAsia"/>
                <w:b w:val="0"/>
                <w:bCs/>
                <w:sz w:val="24"/>
                <w:szCs w:val="24"/>
                <w:highlight w:val="none"/>
                <w:lang w:val="en-US" w:eastAsia="zh-CN"/>
              </w:rPr>
              <w:t>以</w:t>
            </w:r>
            <w:r>
              <w:rPr>
                <w:rFonts w:hint="eastAsia" w:ascii="Times New Roman" w:hAnsi="Times New Roman" w:eastAsia="宋体"/>
                <w:b w:val="0"/>
                <w:bCs/>
                <w:sz w:val="24"/>
                <w:szCs w:val="24"/>
                <w:highlight w:val="none"/>
                <w:lang w:val="en-US" w:eastAsia="zh-CN"/>
              </w:rPr>
              <w:t>挥发</w:t>
            </w:r>
            <w:r>
              <w:rPr>
                <w:rFonts w:hint="eastAsia"/>
                <w:b w:val="0"/>
                <w:bCs/>
                <w:sz w:val="24"/>
                <w:szCs w:val="24"/>
                <w:highlight w:val="none"/>
                <w:lang w:val="en-US" w:eastAsia="zh-CN"/>
              </w:rPr>
              <w:t>性</w:t>
            </w:r>
            <w:r>
              <w:rPr>
                <w:rFonts w:hint="eastAsia" w:ascii="Times New Roman" w:hAnsi="Times New Roman" w:eastAsia="宋体"/>
                <w:b w:val="0"/>
                <w:bCs/>
                <w:sz w:val="24"/>
                <w:szCs w:val="24"/>
                <w:highlight w:val="none"/>
                <w:lang w:val="en-US" w:eastAsia="zh-CN"/>
              </w:rPr>
              <w:t>有机废气</w:t>
            </w:r>
            <w:r>
              <w:rPr>
                <w:rFonts w:hint="eastAsia"/>
                <w:b w:val="0"/>
                <w:bCs/>
                <w:sz w:val="24"/>
                <w:szCs w:val="24"/>
                <w:highlight w:val="none"/>
                <w:lang w:val="en-US" w:eastAsia="zh-CN"/>
              </w:rPr>
              <w:t>形式挥发（以非甲烷总烃计），</w:t>
            </w:r>
            <w:r>
              <w:rPr>
                <w:rFonts w:hint="eastAsia"/>
                <w:b w:val="0"/>
                <w:bCs/>
                <w:color w:val="auto"/>
                <w:sz w:val="24"/>
                <w:szCs w:val="24"/>
                <w:highlight w:val="none"/>
                <w:lang w:val="en-US" w:eastAsia="zh-CN"/>
              </w:rPr>
              <w:t>则第二道双组分硅酮胶调胶、封胶</w:t>
            </w:r>
            <w:r>
              <w:rPr>
                <w:rFonts w:hint="eastAsia" w:ascii="Times New Roman" w:hAnsi="Times New Roman" w:eastAsia="宋体" w:cs="Times New Roman"/>
                <w:b w:val="0"/>
                <w:bCs/>
                <w:sz w:val="24"/>
                <w:szCs w:val="24"/>
                <w:highlight w:val="none"/>
                <w:lang w:val="en-US" w:eastAsia="zh-CN"/>
              </w:rPr>
              <w:t>工序，中空玻璃生产线非甲烷总烃产生量为1.12t/a。则中空玻璃生产线有机废气总产生量1.141t/a。</w:t>
            </w:r>
          </w:p>
          <w:p w14:paraId="487EE0C6">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lang w:val="en-US" w:eastAsia="zh-CN"/>
              </w:rPr>
              <w:t>在车间内对产生有机废气的工序进行</w:t>
            </w:r>
            <w:r>
              <w:rPr>
                <w:rFonts w:hint="default" w:ascii="Times New Roman" w:hAnsi="Times New Roman" w:eastAsia="宋体" w:cs="Times New Roman"/>
                <w:bCs/>
                <w:color w:val="auto"/>
                <w:sz w:val="24"/>
                <w:szCs w:val="24"/>
                <w:lang w:val="en-US" w:eastAsia="zh-CN"/>
              </w:rPr>
              <w:t>分区集气罩收集</w:t>
            </w:r>
            <w:r>
              <w:rPr>
                <w:rFonts w:hint="eastAsia" w:cs="Times New Roman"/>
                <w:bCs/>
                <w:color w:val="auto"/>
                <w:sz w:val="24"/>
                <w:szCs w:val="24"/>
                <w:lang w:val="en-US" w:eastAsia="zh-CN"/>
              </w:rPr>
              <w:t>。</w:t>
            </w:r>
          </w:p>
          <w:p w14:paraId="79548E6A">
            <w:pPr>
              <w:pStyle w:val="27"/>
              <w:keepNext w:val="0"/>
              <w:keepLines w:val="0"/>
              <w:pageBreakBefore w:val="0"/>
              <w:kinsoku/>
              <w:wordWrap/>
              <w:overflowPunct/>
              <w:topLinePunct w:val="0"/>
              <w:autoSpaceDE/>
              <w:autoSpaceDN/>
              <w:bidi w:val="0"/>
              <w:adjustRightInd w:val="0"/>
              <w:snapToGrid w:val="0"/>
              <w:spacing w:line="360" w:lineRule="auto"/>
              <w:ind w:firstLine="480"/>
            </w:pPr>
            <w:r>
              <w:rPr>
                <w:rFonts w:hint="eastAsia"/>
              </w:rPr>
              <w:t>环评要求：建设单位在丁基胶</w:t>
            </w:r>
            <w:r>
              <w:rPr>
                <w:rFonts w:hint="eastAsia"/>
                <w:lang w:eastAsia="zh-CN"/>
              </w:rPr>
              <w:t>涂胶</w:t>
            </w:r>
            <w:r>
              <w:rPr>
                <w:rFonts w:hint="eastAsia"/>
              </w:rPr>
              <w:t>机、全自动封胶机产生非甲烷总烃的设备上方各设置1个集气罩，</w:t>
            </w:r>
            <w:r>
              <w:rPr>
                <w:rFonts w:hint="eastAsia"/>
                <w:lang w:eastAsia="zh-CN"/>
              </w:rPr>
              <w:t>调胶工序在封胶机区域进行，与封胶机共用集气罩，</w:t>
            </w:r>
            <w:r>
              <w:rPr>
                <w:rFonts w:hint="eastAsia"/>
              </w:rPr>
              <w:t>每个集气罩均采用</w:t>
            </w:r>
            <w:r>
              <w:rPr>
                <w:rFonts w:hint="eastAsia"/>
                <w:lang w:val="en-US" w:eastAsia="zh-CN"/>
              </w:rPr>
              <w:t>2</w:t>
            </w:r>
            <w:r>
              <w:rPr>
                <w:rFonts w:hint="eastAsia"/>
              </w:rPr>
              <w:t>m×</w:t>
            </w:r>
            <w:r>
              <w:rPr>
                <w:rFonts w:hint="eastAsia"/>
                <w:lang w:val="en-US" w:eastAsia="zh-CN"/>
              </w:rPr>
              <w:t>2</w:t>
            </w:r>
            <w:r>
              <w:rPr>
                <w:rFonts w:hint="eastAsia"/>
              </w:rPr>
              <w:t>m方形尺寸，控制风速不低于0.3m/s。顶吸式集气罩风机所需风量计算公式如下：</w:t>
            </w:r>
          </w:p>
          <w:p w14:paraId="01968A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color w:val="auto"/>
                <w:sz w:val="24"/>
                <w:lang w:val="en-US" w:eastAsia="zh-CN"/>
              </w:rPr>
            </w:pPr>
            <w:r>
              <w:rPr>
                <w:rFonts w:hint="eastAsia" w:cs="Times New Roman"/>
                <w:color w:val="auto"/>
                <w:sz w:val="24"/>
                <w:lang w:val="en-US" w:eastAsia="zh-CN"/>
              </w:rPr>
              <w:t>根据《废气处理工程技术手册》（2013 年版），排风量计算公式：</w:t>
            </w:r>
          </w:p>
          <w:p w14:paraId="5906C0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cs="Times New Roman"/>
                <w:color w:val="auto"/>
                <w:sz w:val="24"/>
                <w:lang w:val="en-US" w:eastAsia="zh-CN"/>
              </w:rPr>
            </w:pPr>
            <w:r>
              <w:rPr>
                <w:rFonts w:hint="eastAsia" w:cs="Times New Roman"/>
                <w:color w:val="auto"/>
                <w:sz w:val="24"/>
                <w:lang w:val="en-US" w:eastAsia="zh-CN"/>
              </w:rPr>
              <w:t>Q=β×V</w:t>
            </w:r>
            <w:r>
              <w:rPr>
                <w:rFonts w:hint="eastAsia"/>
                <w:vertAlign w:val="subscript"/>
              </w:rPr>
              <w:t>0</w:t>
            </w:r>
            <w:r>
              <w:rPr>
                <w:rFonts w:hint="eastAsia" w:cs="Times New Roman"/>
                <w:color w:val="auto"/>
                <w:sz w:val="24"/>
                <w:lang w:val="en-US" w:eastAsia="zh-CN"/>
              </w:rPr>
              <w:t>×F×3600</w:t>
            </w:r>
          </w:p>
          <w:p w14:paraId="6517DD1F">
            <w:pPr>
              <w:pStyle w:val="27"/>
              <w:keepNext w:val="0"/>
              <w:keepLines w:val="0"/>
              <w:pageBreakBefore w:val="0"/>
              <w:kinsoku/>
              <w:wordWrap/>
              <w:overflowPunct/>
              <w:topLinePunct w:val="0"/>
              <w:autoSpaceDE/>
              <w:autoSpaceDN/>
              <w:bidi w:val="0"/>
              <w:adjustRightInd w:val="0"/>
              <w:snapToGrid w:val="0"/>
              <w:spacing w:line="360" w:lineRule="auto"/>
              <w:ind w:firstLine="480"/>
              <w:rPr>
                <w:rFonts w:hint="eastAsia"/>
              </w:rPr>
            </w:pPr>
            <w:r>
              <w:rPr>
                <w:rFonts w:hint="eastAsia"/>
              </w:rPr>
              <w:t>式中：Q——风机风量，单位为m</w:t>
            </w:r>
            <w:r>
              <w:rPr>
                <w:vertAlign w:val="superscript"/>
              </w:rPr>
              <w:t>3</w:t>
            </w:r>
            <w:r>
              <w:rPr>
                <w:rFonts w:hint="eastAsia"/>
              </w:rPr>
              <w:t>/h；</w:t>
            </w:r>
          </w:p>
          <w:p w14:paraId="0B8B5EBD">
            <w:pPr>
              <w:pStyle w:val="27"/>
              <w:keepNext w:val="0"/>
              <w:keepLines w:val="0"/>
              <w:pageBreakBefore w:val="0"/>
              <w:kinsoku/>
              <w:wordWrap/>
              <w:overflowPunct/>
              <w:topLinePunct w:val="0"/>
              <w:autoSpaceDE/>
              <w:autoSpaceDN/>
              <w:bidi w:val="0"/>
              <w:adjustRightInd w:val="0"/>
              <w:snapToGrid w:val="0"/>
              <w:spacing w:line="360" w:lineRule="auto"/>
              <w:ind w:firstLine="480"/>
              <w:rPr>
                <w:rFonts w:hint="default" w:eastAsia="宋体"/>
                <w:lang w:val="en-US" w:eastAsia="zh-CN"/>
              </w:rPr>
            </w:pPr>
            <w:r>
              <w:rPr>
                <w:rFonts w:hint="eastAsia" w:cs="Times New Roman"/>
                <w:color w:val="auto"/>
                <w:sz w:val="24"/>
                <w:lang w:val="en-US" w:eastAsia="zh-CN"/>
              </w:rPr>
              <w:t>β</w:t>
            </w:r>
            <w:r>
              <w:rPr>
                <w:rFonts w:hint="eastAsia"/>
              </w:rPr>
              <w:t>——</w:t>
            </w:r>
            <w:r>
              <w:rPr>
                <w:rFonts w:hint="eastAsia"/>
                <w:lang w:eastAsia="zh-CN"/>
              </w:rPr>
              <w:t>安全系数，一般取</w:t>
            </w:r>
            <w:r>
              <w:rPr>
                <w:rFonts w:hint="eastAsia"/>
                <w:lang w:val="en-US" w:eastAsia="zh-CN"/>
              </w:rPr>
              <w:t>1.05-1.1，此处取1.1；</w:t>
            </w:r>
          </w:p>
          <w:p w14:paraId="17D87273">
            <w:pPr>
              <w:pStyle w:val="27"/>
              <w:keepNext w:val="0"/>
              <w:keepLines w:val="0"/>
              <w:pageBreakBefore w:val="0"/>
              <w:kinsoku/>
              <w:wordWrap/>
              <w:overflowPunct/>
              <w:topLinePunct w:val="0"/>
              <w:autoSpaceDE/>
              <w:autoSpaceDN/>
              <w:bidi w:val="0"/>
              <w:adjustRightInd w:val="0"/>
              <w:snapToGrid w:val="0"/>
              <w:spacing w:line="360" w:lineRule="auto"/>
              <w:ind w:firstLine="480"/>
            </w:pPr>
            <w:r>
              <w:rPr>
                <w:rFonts w:hint="eastAsia"/>
                <w:lang w:val="en-US" w:eastAsia="zh-CN"/>
              </w:rPr>
              <w:t>F</w:t>
            </w:r>
            <w:r>
              <w:rPr>
                <w:rFonts w:hint="eastAsia"/>
              </w:rPr>
              <w:t>——集气罩</w:t>
            </w:r>
            <w:r>
              <w:rPr>
                <w:rFonts w:hint="eastAsia"/>
                <w:lang w:eastAsia="zh-CN"/>
              </w:rPr>
              <w:t>面积</w:t>
            </w:r>
            <w:r>
              <w:rPr>
                <w:rFonts w:hint="eastAsia"/>
              </w:rPr>
              <w:t>，单位为m</w:t>
            </w:r>
            <w:r>
              <w:rPr>
                <w:rFonts w:hint="eastAsia"/>
                <w:vertAlign w:val="superscript"/>
                <w:lang w:val="en-US" w:eastAsia="zh-CN"/>
              </w:rPr>
              <w:t>2</w:t>
            </w:r>
            <w:r>
              <w:rPr>
                <w:rFonts w:hint="eastAsia"/>
              </w:rPr>
              <w:t>，此处为</w:t>
            </w:r>
            <w:r>
              <w:rPr>
                <w:rFonts w:hint="eastAsia"/>
                <w:lang w:val="en-US" w:eastAsia="zh-CN"/>
              </w:rPr>
              <w:t>4</w:t>
            </w:r>
            <w:r>
              <w:rPr>
                <w:rFonts w:hint="eastAsia"/>
              </w:rPr>
              <w:t>m；</w:t>
            </w:r>
          </w:p>
          <w:p w14:paraId="6B0968E9">
            <w:pPr>
              <w:pStyle w:val="27"/>
              <w:keepNext w:val="0"/>
              <w:keepLines w:val="0"/>
              <w:pageBreakBefore w:val="0"/>
              <w:kinsoku/>
              <w:wordWrap/>
              <w:overflowPunct/>
              <w:topLinePunct w:val="0"/>
              <w:autoSpaceDE/>
              <w:autoSpaceDN/>
              <w:bidi w:val="0"/>
              <w:adjustRightInd w:val="0"/>
              <w:snapToGrid w:val="0"/>
              <w:spacing w:line="360" w:lineRule="auto"/>
              <w:ind w:firstLine="480"/>
            </w:pPr>
            <w:r>
              <w:rPr>
                <w:rFonts w:hint="eastAsia"/>
                <w:lang w:val="en-US" w:eastAsia="zh-CN"/>
              </w:rPr>
              <w:t>V</w:t>
            </w:r>
            <w:r>
              <w:rPr>
                <w:rFonts w:hint="eastAsia"/>
                <w:vertAlign w:val="subscript"/>
              </w:rPr>
              <w:t>0</w:t>
            </w:r>
            <w:r>
              <w:rPr>
                <w:rFonts w:hint="eastAsia"/>
              </w:rPr>
              <w:t>——污染源所在位置流速，此处取0.3m/s；</w:t>
            </w:r>
          </w:p>
          <w:p w14:paraId="4DA1B559">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经计算，项目单个集气罩气流量为4752m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/h，本项目共设2处集气罩，经计算，本项目风机所需风量为9504m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/h，考虑管道长度和弯角造成的风压损失，本次评价风机风量按照10000m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/h计算。</w:t>
            </w:r>
          </w:p>
          <w:p w14:paraId="40E6AB60">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center"/>
              <w:rPr>
                <w:rFonts w:hint="eastAsia" w:ascii="Times New Roman" w:hAnsi="Times New Roman" w:eastAsia="宋体" w:cs="Times New Roman"/>
                <w:color w:val="auto"/>
                <w:sz w:val="24"/>
                <w:szCs w:val="24"/>
                <w:vertAlign w:val="baseline"/>
                <w:lang w:val="en-US" w:eastAsia="zh-CN"/>
              </w:rPr>
            </w:pPr>
            <w:r>
              <w:rPr>
                <w:rFonts w:hint="eastAsia" w:cs="Times New Roman"/>
                <w:bCs/>
                <w:color w:val="auto"/>
                <w:sz w:val="24"/>
                <w:szCs w:val="24"/>
                <w:lang w:val="en-US" w:eastAsia="zh-CN"/>
              </w:rPr>
              <w:t>本项目中空玻璃生产车间为密闭，采用符合标准要求的外部集气罩，</w:t>
            </w:r>
            <w:r>
              <w:rPr>
                <w:rFonts w:hint="eastAsia" w:ascii="Times New Roman" w:hAnsi="Times New Roman" w:eastAsia="宋体" w:cs="Times New Roman"/>
                <w:bCs/>
                <w:color w:val="auto"/>
                <w:sz w:val="24"/>
                <w:szCs w:val="24"/>
                <w:lang w:val="en-US" w:eastAsia="zh-CN"/>
              </w:rPr>
              <w:t>集气效</w:t>
            </w:r>
            <w:r>
              <w:rPr>
                <w:rFonts w:hint="default" w:ascii="Times New Roman" w:hAnsi="Times New Roman" w:eastAsia="宋体" w:cs="Times New Roman"/>
                <w:bCs/>
                <w:color w:val="auto"/>
                <w:sz w:val="24"/>
                <w:szCs w:val="24"/>
                <w:lang w:val="en-US" w:eastAsia="zh-CN"/>
              </w:rPr>
              <w:t>率</w:t>
            </w:r>
            <w:r>
              <w:rPr>
                <w:rFonts w:hint="eastAsia" w:cs="Times New Roman"/>
                <w:bCs/>
                <w:color w:val="auto"/>
                <w:sz w:val="24"/>
                <w:szCs w:val="24"/>
                <w:lang w:val="en-US" w:eastAsia="zh-CN"/>
              </w:rPr>
              <w:t>取8</w:t>
            </w:r>
            <w:r>
              <w:rPr>
                <w:rFonts w:hint="eastAsia" w:ascii="Times New Roman" w:hAnsi="Times New Roman" w:eastAsia="宋体" w:cs="Times New Roman"/>
                <w:bCs/>
                <w:color w:val="auto"/>
                <w:sz w:val="24"/>
                <w:szCs w:val="24"/>
                <w:lang w:val="en-US" w:eastAsia="zh-CN"/>
              </w:rPr>
              <w:t>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pacing w:val="-4"/>
                <w:sz w:val="24"/>
                <w:szCs w:val="24"/>
              </w:rPr>
              <w:t>经</w:t>
            </w:r>
            <w:r>
              <w:rPr>
                <w:rFonts w:hint="eastAsia" w:ascii="Times New Roman" w:hAnsi="Times New Roman" w:eastAsia="宋体" w:cs="Times New Roman"/>
                <w:color w:val="auto"/>
                <w:spacing w:val="-4"/>
                <w:sz w:val="24"/>
                <w:szCs w:val="24"/>
                <w:lang w:val="en-US" w:eastAsia="zh-CN"/>
              </w:rPr>
              <w:t>二级</w:t>
            </w:r>
            <w:r>
              <w:rPr>
                <w:rFonts w:hint="default" w:ascii="Times New Roman" w:hAnsi="Times New Roman" w:eastAsia="宋体" w:cs="Times New Roman"/>
                <w:color w:val="auto"/>
                <w:spacing w:val="-4"/>
                <w:sz w:val="24"/>
                <w:szCs w:val="24"/>
                <w:lang w:eastAsia="zh-CN"/>
              </w:rPr>
              <w:t>活性炭吸附</w:t>
            </w:r>
            <w:r>
              <w:rPr>
                <w:rFonts w:hint="default" w:ascii="Times New Roman" w:hAnsi="Times New Roman" w:eastAsia="宋体" w:cs="Times New Roman"/>
                <w:color w:val="auto"/>
                <w:sz w:val="24"/>
                <w:szCs w:val="24"/>
              </w:rPr>
              <w:t>处理后</w:t>
            </w:r>
            <w:r>
              <w:rPr>
                <w:rFonts w:hint="default" w:ascii="Times New Roman" w:hAnsi="Times New Roman" w:eastAsia="宋体" w:cs="Times New Roman"/>
                <w:color w:val="auto"/>
                <w:sz w:val="24"/>
                <w:szCs w:val="24"/>
                <w:lang w:eastAsia="zh-CN"/>
              </w:rPr>
              <w:t>通过</w:t>
            </w:r>
            <w:r>
              <w:rPr>
                <w:rFonts w:hint="eastAsia" w:cs="Times New Roman"/>
                <w:color w:val="auto"/>
                <w:sz w:val="24"/>
                <w:szCs w:val="24"/>
                <w:lang w:val="en-US" w:eastAsia="zh-CN"/>
              </w:rPr>
              <w:t>15</w:t>
            </w:r>
            <w:r>
              <w:rPr>
                <w:rFonts w:hint="eastAsia"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lang w:val="en-US" w:eastAsia="zh-CN"/>
              </w:rPr>
              <w:t>高的排气筒</w:t>
            </w:r>
            <w:r>
              <w:rPr>
                <w:rFonts w:hint="eastAsia" w:ascii="Times New Roman" w:hAnsi="Times New Roman" w:eastAsia="宋体" w:cs="Times New Roman"/>
                <w:color w:val="auto"/>
                <w:sz w:val="24"/>
                <w:szCs w:val="24"/>
                <w:lang w:val="en-US" w:eastAsia="zh-CN"/>
              </w:rPr>
              <w:t>达标</w:t>
            </w:r>
            <w:r>
              <w:rPr>
                <w:rFonts w:hint="default" w:ascii="Times New Roman" w:hAnsi="Times New Roman" w:eastAsia="宋体" w:cs="Times New Roman"/>
                <w:color w:val="auto"/>
                <w:sz w:val="24"/>
                <w:szCs w:val="24"/>
                <w:lang w:eastAsia="zh-CN"/>
              </w:rPr>
              <w:t>排放</w:t>
            </w:r>
            <w:r>
              <w:rPr>
                <w:rFonts w:hint="eastAsia" w:cs="Times New Roman"/>
                <w:color w:val="auto"/>
                <w:sz w:val="24"/>
                <w:szCs w:val="24"/>
                <w:lang w:eastAsia="zh-CN"/>
              </w:rPr>
              <w:t>，</w:t>
            </w:r>
            <w:r>
              <w:rPr>
                <w:rFonts w:hint="eastAsia" w:cs="Times New Roman"/>
                <w:color w:val="auto"/>
                <w:spacing w:val="-4"/>
                <w:sz w:val="24"/>
                <w:szCs w:val="24"/>
                <w:lang w:val="en-US" w:eastAsia="zh-CN"/>
              </w:rPr>
              <w:t>一</w:t>
            </w:r>
            <w:r>
              <w:rPr>
                <w:rFonts w:hint="eastAsia" w:ascii="Times New Roman" w:hAnsi="Times New Roman" w:eastAsia="宋体" w:cs="Times New Roman"/>
                <w:color w:val="auto"/>
                <w:spacing w:val="-4"/>
                <w:sz w:val="24"/>
                <w:szCs w:val="24"/>
                <w:lang w:val="en-US" w:eastAsia="zh-CN"/>
              </w:rPr>
              <w:t>级</w:t>
            </w:r>
            <w:r>
              <w:rPr>
                <w:rFonts w:hint="default" w:ascii="Times New Roman" w:hAnsi="Times New Roman" w:eastAsia="宋体" w:cs="Times New Roman"/>
                <w:color w:val="auto"/>
                <w:spacing w:val="-4"/>
                <w:sz w:val="24"/>
                <w:szCs w:val="24"/>
                <w:lang w:eastAsia="zh-CN"/>
              </w:rPr>
              <w:t>活性炭吸附</w:t>
            </w:r>
            <w:r>
              <w:rPr>
                <w:rFonts w:hint="eastAsia" w:cs="Times New Roman"/>
                <w:color w:val="auto"/>
                <w:spacing w:val="-4"/>
                <w:sz w:val="24"/>
                <w:szCs w:val="24"/>
                <w:lang w:eastAsia="zh-CN"/>
              </w:rPr>
              <w:t>效率取</w:t>
            </w:r>
            <w:r>
              <w:rPr>
                <w:rFonts w:hint="eastAsia" w:cs="Times New Roman"/>
                <w:color w:val="auto"/>
                <w:spacing w:val="-4"/>
                <w:sz w:val="24"/>
                <w:szCs w:val="24"/>
                <w:lang w:val="en-US" w:eastAsia="zh-CN"/>
              </w:rPr>
              <w:t>50% ，则二级活性炭理论吸附效率为75%</w:t>
            </w:r>
            <w:r>
              <w:rPr>
                <w:rFonts w:hint="eastAsia"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年生产时间</w:t>
            </w:r>
            <w:r>
              <w:rPr>
                <w:rFonts w:hint="eastAsia" w:ascii="Times New Roman" w:hAnsi="Times New Roman" w:eastAsia="宋体" w:cs="Times New Roman"/>
                <w:color w:val="auto"/>
                <w:sz w:val="24"/>
                <w:szCs w:val="24"/>
                <w:vertAlign w:val="baseline"/>
                <w:lang w:val="en-US" w:eastAsia="zh-CN"/>
              </w:rPr>
              <w:t>以2400</w:t>
            </w:r>
            <w:r>
              <w:rPr>
                <w:rFonts w:hint="default" w:ascii="Times New Roman" w:hAnsi="Times New Roman" w:eastAsia="宋体" w:cs="Times New Roman"/>
                <w:color w:val="auto"/>
                <w:sz w:val="24"/>
                <w:szCs w:val="24"/>
                <w:vertAlign w:val="baseline"/>
                <w:lang w:val="en-US" w:eastAsia="zh-CN"/>
              </w:rPr>
              <w:t>h</w:t>
            </w:r>
            <w:r>
              <w:rPr>
                <w:rFonts w:hint="eastAsia" w:ascii="Times New Roman" w:hAnsi="Times New Roman" w:eastAsia="宋体" w:cs="Times New Roman"/>
                <w:color w:val="auto"/>
                <w:sz w:val="24"/>
                <w:szCs w:val="24"/>
                <w:vertAlign w:val="baseline"/>
                <w:lang w:val="en-US" w:eastAsia="zh-CN"/>
              </w:rPr>
              <w:t>计。</w:t>
            </w:r>
          </w:p>
          <w:p w14:paraId="25CC0916">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bCs/>
                <w:color w:val="auto"/>
                <w:sz w:val="24"/>
                <w:szCs w:val="24"/>
                <w:highlight w:val="red"/>
              </w:rPr>
            </w:pPr>
            <w:r>
              <w:rPr>
                <w:rFonts w:hint="eastAsia" w:ascii="Times New Roman" w:hAnsi="Times New Roman" w:eastAsia="宋体" w:cs="Times New Roman"/>
                <w:bCs/>
                <w:color w:val="auto"/>
                <w:sz w:val="24"/>
                <w:szCs w:val="24"/>
                <w:lang w:val="en-US" w:eastAsia="zh-CN"/>
              </w:rPr>
              <w:t>本项目采用一套废气处理装置，项目</w:t>
            </w:r>
            <w:r>
              <w:rPr>
                <w:rFonts w:hint="eastAsia" w:cs="Times New Roman"/>
                <w:bCs/>
                <w:color w:val="auto"/>
                <w:sz w:val="24"/>
                <w:szCs w:val="24"/>
                <w:lang w:val="en-US" w:eastAsia="zh-CN"/>
              </w:rPr>
              <w:t>调胶、涂胶、封胶</w:t>
            </w:r>
            <w:r>
              <w:rPr>
                <w:rFonts w:hint="eastAsia" w:ascii="Times New Roman" w:hAnsi="Times New Roman" w:eastAsia="宋体" w:cs="Times New Roman"/>
                <w:bCs/>
                <w:color w:val="auto"/>
                <w:sz w:val="24"/>
                <w:szCs w:val="24"/>
                <w:lang w:val="en-US" w:eastAsia="zh-CN"/>
              </w:rPr>
              <w:t>过程中产生的有机废气，通过</w:t>
            </w:r>
            <w:r>
              <w:rPr>
                <w:rFonts w:hint="eastAsia" w:cs="Times New Roman"/>
                <w:bCs/>
                <w:color w:val="auto"/>
                <w:sz w:val="24"/>
                <w:szCs w:val="24"/>
                <w:lang w:val="en-US" w:eastAsia="zh-CN"/>
              </w:rPr>
              <w:t>分区</w:t>
            </w:r>
            <w:r>
              <w:rPr>
                <w:rFonts w:hint="eastAsia" w:ascii="Times New Roman" w:hAnsi="Times New Roman" w:eastAsia="宋体" w:cs="Times New Roman"/>
                <w:bCs/>
                <w:color w:val="auto"/>
                <w:sz w:val="24"/>
                <w:szCs w:val="24"/>
                <w:lang w:val="en-US" w:eastAsia="zh-CN"/>
              </w:rPr>
              <w:t>设置集气罩收集，经二级活性炭吸附装置吸附处理后由15m高排气筒排放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bCs/>
                <w:color w:val="auto"/>
                <w:sz w:val="24"/>
                <w:szCs w:val="24"/>
                <w:lang w:val="en-US" w:eastAsia="zh-CN"/>
              </w:rPr>
              <w:t>有机</w:t>
            </w:r>
            <w:r>
              <w:rPr>
                <w:rFonts w:hint="default" w:ascii="Times New Roman" w:hAnsi="Times New Roman" w:eastAsia="宋体" w:cs="Times New Roman"/>
                <w:color w:val="auto"/>
                <w:kern w:val="2"/>
                <w:sz w:val="24"/>
                <w:szCs w:val="24"/>
                <w:lang w:val="en-US" w:eastAsia="zh-CN" w:bidi="ar-SA"/>
              </w:rPr>
              <w:t>废气</w:t>
            </w:r>
            <w:r>
              <w:rPr>
                <w:rFonts w:hint="eastAsia" w:ascii="Times New Roman" w:hAnsi="Times New Roman" w:eastAsia="宋体" w:cs="Times New Roman"/>
                <w:color w:val="auto"/>
                <w:sz w:val="24"/>
                <w:szCs w:val="24"/>
                <w:lang w:val="en-US" w:eastAsia="zh-CN"/>
              </w:rPr>
              <w:t>总</w:t>
            </w:r>
            <w:r>
              <w:rPr>
                <w:rFonts w:hint="default" w:ascii="Times New Roman" w:hAnsi="Times New Roman" w:eastAsia="宋体" w:cs="Times New Roman"/>
                <w:color w:val="auto"/>
                <w:sz w:val="24"/>
                <w:szCs w:val="24"/>
              </w:rPr>
              <w:t>产</w:t>
            </w:r>
            <w:r>
              <w:rPr>
                <w:rFonts w:hint="default" w:ascii="Times New Roman" w:hAnsi="Times New Roman" w:eastAsia="宋体" w:cs="Times New Roman"/>
                <w:color w:val="auto"/>
                <w:sz w:val="24"/>
                <w:szCs w:val="24"/>
                <w:highlight w:val="none"/>
              </w:rPr>
              <w:t>生量</w:t>
            </w:r>
            <w:r>
              <w:rPr>
                <w:rFonts w:hint="eastAsia" w:cs="Times New Roman"/>
                <w:color w:val="auto"/>
                <w:sz w:val="24"/>
                <w:szCs w:val="24"/>
                <w:highlight w:val="none"/>
                <w:lang w:val="en-US" w:eastAsia="zh-CN"/>
              </w:rPr>
              <w:t>1.141</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/a，</w:t>
            </w:r>
            <w:r>
              <w:rPr>
                <w:rFonts w:hint="eastAsia" w:cs="Times New Roman"/>
                <w:color w:val="auto"/>
                <w:sz w:val="24"/>
                <w:szCs w:val="24"/>
                <w:highlight w:val="none"/>
                <w:lang w:val="en-US" w:eastAsia="zh-CN"/>
              </w:rPr>
              <w:t>有组织废气产生量为0.9128</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bCs/>
                <w:color w:val="auto"/>
                <w:sz w:val="24"/>
                <w:szCs w:val="24"/>
                <w:highlight w:val="none"/>
              </w:rPr>
              <w:t>产生速率为</w:t>
            </w:r>
            <w:r>
              <w:rPr>
                <w:rFonts w:hint="eastAsia" w:cs="Times New Roman"/>
                <w:bCs/>
                <w:color w:val="auto"/>
                <w:sz w:val="24"/>
                <w:szCs w:val="24"/>
                <w:highlight w:val="none"/>
                <w:lang w:val="en-US" w:eastAsia="zh-CN"/>
              </w:rPr>
              <w:t>0.38</w:t>
            </w:r>
            <w:r>
              <w:rPr>
                <w:rFonts w:hint="default" w:ascii="Times New Roman" w:hAnsi="Times New Roman" w:eastAsia="宋体" w:cs="Times New Roman"/>
                <w:bCs/>
                <w:color w:val="auto"/>
                <w:sz w:val="24"/>
                <w:szCs w:val="24"/>
                <w:highlight w:val="none"/>
              </w:rPr>
              <w:t>kg/h，产生浓度为</w:t>
            </w:r>
            <w:r>
              <w:rPr>
                <w:rFonts w:hint="eastAsia" w:cs="Times New Roman"/>
                <w:bCs/>
                <w:color w:val="auto"/>
                <w:sz w:val="24"/>
                <w:szCs w:val="24"/>
                <w:highlight w:val="none"/>
                <w:lang w:val="en-US" w:eastAsia="zh-CN"/>
              </w:rPr>
              <w:t>38.03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有组织</w:t>
            </w:r>
            <w:r>
              <w:rPr>
                <w:rFonts w:hint="eastAsia"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排放量为</w:t>
            </w:r>
            <w:r>
              <w:rPr>
                <w:rFonts w:hint="eastAsia" w:cs="Times New Roman"/>
                <w:bCs/>
                <w:color w:val="auto"/>
                <w:sz w:val="24"/>
                <w:szCs w:val="24"/>
                <w:highlight w:val="none"/>
                <w:lang w:val="en-US" w:eastAsia="zh-CN"/>
              </w:rPr>
              <w:t>0.2282</w:t>
            </w:r>
            <w:r>
              <w:rPr>
                <w:rFonts w:hint="default" w:ascii="Times New Roman" w:hAnsi="Times New Roman" w:eastAsia="宋体" w:cs="Times New Roman"/>
                <w:bCs/>
                <w:color w:val="auto"/>
                <w:sz w:val="24"/>
                <w:szCs w:val="24"/>
                <w:highlight w:val="none"/>
              </w:rPr>
              <w:t>t/a，排放速率为</w:t>
            </w:r>
            <w:r>
              <w:rPr>
                <w:rFonts w:hint="eastAsia" w:cs="Times New Roman"/>
                <w:bCs/>
                <w:color w:val="auto"/>
                <w:sz w:val="24"/>
                <w:szCs w:val="24"/>
                <w:highlight w:val="none"/>
                <w:lang w:eastAsia="zh-CN"/>
              </w:rPr>
              <w:t>0.</w:t>
            </w:r>
            <w:r>
              <w:rPr>
                <w:rFonts w:hint="eastAsia" w:cs="Times New Roman"/>
                <w:bCs/>
                <w:color w:val="auto"/>
                <w:sz w:val="24"/>
                <w:szCs w:val="24"/>
                <w:highlight w:val="none"/>
                <w:lang w:val="en-US" w:eastAsia="zh-CN"/>
              </w:rPr>
              <w:t>095</w:t>
            </w:r>
            <w:r>
              <w:rPr>
                <w:rFonts w:hint="default" w:ascii="Times New Roman" w:hAnsi="Times New Roman" w:eastAsia="宋体" w:cs="Times New Roman"/>
                <w:bCs/>
                <w:color w:val="auto"/>
                <w:sz w:val="24"/>
                <w:szCs w:val="24"/>
                <w:highlight w:val="none"/>
              </w:rPr>
              <w:t>kg/h，排放浓度为</w:t>
            </w:r>
            <w:r>
              <w:rPr>
                <w:rFonts w:hint="eastAsia" w:cs="Times New Roman"/>
                <w:bCs/>
                <w:color w:val="auto"/>
                <w:sz w:val="24"/>
                <w:szCs w:val="24"/>
                <w:highlight w:val="none"/>
                <w:lang w:val="en-US" w:eastAsia="zh-CN"/>
              </w:rPr>
              <w:t>9.51</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eastAsia="zh-CN"/>
              </w:rPr>
              <w:t>未</w:t>
            </w:r>
            <w:r>
              <w:rPr>
                <w:rFonts w:hint="eastAsia" w:ascii="Times New Roman" w:hAnsi="Times New Roman" w:eastAsia="宋体" w:cs="Times New Roman"/>
                <w:bCs/>
                <w:color w:val="auto"/>
                <w:sz w:val="24"/>
                <w:szCs w:val="24"/>
                <w:highlight w:val="none"/>
                <w:lang w:val="en-US" w:eastAsia="zh-CN"/>
              </w:rPr>
              <w:t>捕</w:t>
            </w:r>
            <w:r>
              <w:rPr>
                <w:rFonts w:hint="default" w:ascii="Times New Roman" w:hAnsi="Times New Roman" w:eastAsia="宋体" w:cs="Times New Roman"/>
                <w:bCs/>
                <w:color w:val="auto"/>
                <w:sz w:val="24"/>
                <w:szCs w:val="24"/>
                <w:highlight w:val="none"/>
              </w:rPr>
              <w:t>集的以无组织形式排放</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color w:val="auto"/>
                <w:sz w:val="24"/>
                <w:szCs w:val="24"/>
                <w:highlight w:val="none"/>
                <w:vertAlign w:val="baseline"/>
                <w:lang w:eastAsia="zh-CN"/>
              </w:rPr>
              <w:t>无组织</w:t>
            </w:r>
            <w:r>
              <w:rPr>
                <w:rFonts w:hint="default" w:ascii="Times New Roman" w:hAnsi="Times New Roman" w:eastAsia="宋体" w:cs="Times New Roman"/>
                <w:color w:val="auto"/>
                <w:sz w:val="24"/>
                <w:szCs w:val="22"/>
                <w:highlight w:val="none"/>
                <w:lang w:val="en-US" w:eastAsia="zh-CN"/>
              </w:rPr>
              <w:t>非甲烷总烃</w:t>
            </w:r>
            <w:r>
              <w:rPr>
                <w:rFonts w:hint="default" w:ascii="Times New Roman" w:hAnsi="Times New Roman" w:eastAsia="宋体" w:cs="Times New Roman"/>
                <w:color w:val="auto"/>
                <w:sz w:val="24"/>
                <w:szCs w:val="24"/>
                <w:highlight w:val="none"/>
                <w:vertAlign w:val="baseline"/>
                <w:lang w:eastAsia="zh-CN"/>
              </w:rPr>
              <w:t>排放量为</w:t>
            </w:r>
            <w:r>
              <w:rPr>
                <w:rFonts w:hint="eastAsia" w:cs="Times New Roman"/>
                <w:color w:val="auto"/>
                <w:sz w:val="24"/>
                <w:szCs w:val="24"/>
                <w:highlight w:val="none"/>
                <w:vertAlign w:val="baseline"/>
                <w:lang w:val="en-US" w:eastAsia="zh-CN"/>
              </w:rPr>
              <w:t>0.2282t</w:t>
            </w:r>
            <w:r>
              <w:rPr>
                <w:rFonts w:hint="default" w:ascii="Times New Roman" w:hAnsi="Times New Roman" w:eastAsia="宋体" w:cs="Times New Roman"/>
                <w:color w:val="auto"/>
                <w:sz w:val="24"/>
                <w:szCs w:val="24"/>
                <w:highlight w:val="none"/>
                <w:vertAlign w:val="baseline"/>
                <w:lang w:val="en-US" w:eastAsia="zh-CN"/>
              </w:rPr>
              <w:t>/a，</w:t>
            </w:r>
            <w:r>
              <w:rPr>
                <w:rFonts w:hint="default" w:ascii="Times New Roman" w:hAnsi="Times New Roman" w:eastAsia="宋体" w:cs="Times New Roman"/>
                <w:b w:val="0"/>
                <w:bCs/>
                <w:color w:val="auto"/>
                <w:sz w:val="24"/>
                <w:szCs w:val="24"/>
                <w:highlight w:val="none"/>
                <w:shd w:val="clear" w:color="auto" w:fill="FFFFFF"/>
                <w:lang w:eastAsia="zh-CN"/>
              </w:rPr>
              <w:t>排放速率</w:t>
            </w:r>
            <w:r>
              <w:rPr>
                <w:rFonts w:hint="eastAsia" w:cs="Times New Roman"/>
                <w:b w:val="0"/>
                <w:bCs/>
                <w:color w:val="auto"/>
                <w:sz w:val="24"/>
                <w:szCs w:val="24"/>
                <w:highlight w:val="none"/>
                <w:shd w:val="clear" w:color="auto" w:fill="FFFFFF"/>
                <w:lang w:val="en-US" w:eastAsia="zh-CN"/>
              </w:rPr>
              <w:t>0.095</w:t>
            </w:r>
            <w:r>
              <w:rPr>
                <w:rFonts w:hint="default" w:ascii="Times New Roman" w:hAnsi="Times New Roman" w:eastAsia="宋体" w:cs="Times New Roman"/>
                <w:b w:val="0"/>
                <w:bCs/>
                <w:color w:val="auto"/>
                <w:sz w:val="24"/>
                <w:szCs w:val="24"/>
                <w:highlight w:val="none"/>
                <w:shd w:val="clear" w:color="auto" w:fill="FFFFFF"/>
                <w:lang w:val="en-US" w:eastAsia="zh-CN"/>
              </w:rPr>
              <w:t>kg/h</w:t>
            </w:r>
            <w:r>
              <w:rPr>
                <w:rFonts w:hint="default" w:ascii="Times New Roman" w:hAnsi="Times New Roman" w:eastAsia="宋体" w:cs="Times New Roman"/>
                <w:bCs/>
                <w:color w:val="auto"/>
                <w:sz w:val="24"/>
                <w:szCs w:val="24"/>
                <w:highlight w:val="none"/>
              </w:rPr>
              <w:t>。</w:t>
            </w:r>
          </w:p>
          <w:p w14:paraId="5525D6FD">
            <w:pPr>
              <w:adjustRightInd w:val="0"/>
              <w:snapToGrid w:val="0"/>
              <w:spacing w:line="360" w:lineRule="auto"/>
              <w:ind w:firstLine="422" w:firstLineChars="20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表4-1 废气排放情况一览表</w:t>
            </w:r>
          </w:p>
          <w:tbl>
            <w:tblPr>
              <w:tblStyle w:val="20"/>
              <w:tblW w:w="498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0"/>
              <w:gridCol w:w="506"/>
              <w:gridCol w:w="573"/>
              <w:gridCol w:w="846"/>
              <w:gridCol w:w="829"/>
              <w:gridCol w:w="785"/>
              <w:gridCol w:w="1244"/>
              <w:gridCol w:w="767"/>
              <w:gridCol w:w="762"/>
              <w:gridCol w:w="863"/>
              <w:gridCol w:w="743"/>
            </w:tblGrid>
            <w:tr w14:paraId="1303EC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97" w:type="pct"/>
                  <w:tcBorders>
                    <w:tl2br w:val="nil"/>
                    <w:tr2bl w:val="nil"/>
                  </w:tcBorders>
                  <w:noWrap w:val="0"/>
                  <w:vAlign w:val="center"/>
                </w:tcPr>
                <w:p w14:paraId="78EA3FFD">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排放源</w:t>
                  </w:r>
                </w:p>
              </w:tc>
              <w:tc>
                <w:tcPr>
                  <w:tcW w:w="300" w:type="pct"/>
                  <w:tcBorders>
                    <w:tl2br w:val="nil"/>
                    <w:tr2bl w:val="nil"/>
                  </w:tcBorders>
                  <w:noWrap w:val="0"/>
                  <w:vAlign w:val="center"/>
                </w:tcPr>
                <w:p w14:paraId="234183DF">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污染物</w:t>
                  </w:r>
                </w:p>
              </w:tc>
              <w:tc>
                <w:tcPr>
                  <w:tcW w:w="340" w:type="pct"/>
                  <w:tcBorders>
                    <w:tl2br w:val="nil"/>
                    <w:tr2bl w:val="nil"/>
                  </w:tcBorders>
                  <w:noWrap w:val="0"/>
                  <w:vAlign w:val="center"/>
                </w:tcPr>
                <w:p w14:paraId="454867F1">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排放形式</w:t>
                  </w:r>
                </w:p>
              </w:tc>
              <w:tc>
                <w:tcPr>
                  <w:tcW w:w="502" w:type="pct"/>
                  <w:tcBorders>
                    <w:tl2br w:val="nil"/>
                    <w:tr2bl w:val="nil"/>
                  </w:tcBorders>
                  <w:noWrap w:val="0"/>
                  <w:vAlign w:val="center"/>
                </w:tcPr>
                <w:p w14:paraId="3B85B7C7">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产生浓度</w:t>
                  </w:r>
                  <w:r>
                    <w:rPr>
                      <w:rFonts w:hint="eastAsia" w:ascii="Times New Roman" w:hAnsi="Times New Roman" w:eastAsia="宋体" w:cs="Times New Roman"/>
                      <w:b w:val="0"/>
                      <w:bCs w:val="0"/>
                      <w:color w:val="auto"/>
                      <w:sz w:val="21"/>
                      <w:szCs w:val="21"/>
                      <w:highlight w:val="none"/>
                      <w:lang w:val="en-US" w:eastAsia="zh-CN"/>
                    </w:rPr>
                    <w:t>mg/m</w:t>
                  </w:r>
                  <w:r>
                    <w:rPr>
                      <w:rFonts w:hint="eastAsia" w:ascii="Times New Roman" w:hAnsi="Times New Roman" w:eastAsia="宋体" w:cs="Times New Roman"/>
                      <w:b w:val="0"/>
                      <w:bCs w:val="0"/>
                      <w:color w:val="auto"/>
                      <w:sz w:val="21"/>
                      <w:szCs w:val="21"/>
                      <w:highlight w:val="none"/>
                      <w:vertAlign w:val="superscript"/>
                      <w:lang w:val="en-US" w:eastAsia="zh-CN"/>
                    </w:rPr>
                    <w:t>3</w:t>
                  </w:r>
                </w:p>
              </w:tc>
              <w:tc>
                <w:tcPr>
                  <w:tcW w:w="492" w:type="pct"/>
                  <w:tcBorders>
                    <w:tl2br w:val="nil"/>
                    <w:tr2bl w:val="nil"/>
                  </w:tcBorders>
                  <w:noWrap w:val="0"/>
                  <w:vAlign w:val="center"/>
                </w:tcPr>
                <w:p w14:paraId="18272F02">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产生速率</w:t>
                  </w:r>
                  <w:r>
                    <w:rPr>
                      <w:rFonts w:hint="eastAsia" w:ascii="Times New Roman" w:hAnsi="Times New Roman" w:eastAsia="宋体" w:cs="Times New Roman"/>
                      <w:b w:val="0"/>
                      <w:bCs w:val="0"/>
                      <w:color w:val="auto"/>
                      <w:sz w:val="21"/>
                      <w:szCs w:val="21"/>
                      <w:highlight w:val="none"/>
                      <w:lang w:val="en-US" w:eastAsia="zh-CN"/>
                    </w:rPr>
                    <w:t>kg/h</w:t>
                  </w:r>
                </w:p>
              </w:tc>
              <w:tc>
                <w:tcPr>
                  <w:tcW w:w="466" w:type="pct"/>
                  <w:tcBorders>
                    <w:tl2br w:val="nil"/>
                    <w:tr2bl w:val="nil"/>
                  </w:tcBorders>
                  <w:noWrap w:val="0"/>
                  <w:vAlign w:val="center"/>
                </w:tcPr>
                <w:p w14:paraId="4A714E9E">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产生量</w:t>
                  </w:r>
                  <w:r>
                    <w:rPr>
                      <w:rFonts w:hint="eastAsia" w:ascii="Times New Roman" w:hAnsi="Times New Roman" w:eastAsia="宋体" w:cs="Times New Roman"/>
                      <w:b w:val="0"/>
                      <w:bCs w:val="0"/>
                      <w:color w:val="auto"/>
                      <w:sz w:val="21"/>
                      <w:szCs w:val="21"/>
                      <w:highlight w:val="none"/>
                      <w:lang w:val="en-US" w:eastAsia="zh-CN"/>
                    </w:rPr>
                    <w:t>t/a</w:t>
                  </w:r>
                </w:p>
              </w:tc>
              <w:tc>
                <w:tcPr>
                  <w:tcW w:w="738" w:type="pct"/>
                  <w:tcBorders>
                    <w:tl2br w:val="nil"/>
                    <w:tr2bl w:val="nil"/>
                  </w:tcBorders>
                  <w:noWrap w:val="0"/>
                  <w:vAlign w:val="center"/>
                </w:tcPr>
                <w:p w14:paraId="3DFE7495">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治理措施</w:t>
                  </w:r>
                </w:p>
              </w:tc>
              <w:tc>
                <w:tcPr>
                  <w:tcW w:w="455" w:type="pct"/>
                  <w:tcBorders>
                    <w:tl2br w:val="nil"/>
                    <w:tr2bl w:val="nil"/>
                  </w:tcBorders>
                  <w:noWrap w:val="0"/>
                  <w:vAlign w:val="center"/>
                </w:tcPr>
                <w:p w14:paraId="0DB3CAD8">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排放浓度</w:t>
                  </w:r>
                  <w:r>
                    <w:rPr>
                      <w:rFonts w:hint="eastAsia" w:ascii="Times New Roman" w:hAnsi="Times New Roman" w:eastAsia="宋体" w:cs="Times New Roman"/>
                      <w:b w:val="0"/>
                      <w:bCs w:val="0"/>
                      <w:color w:val="auto"/>
                      <w:sz w:val="21"/>
                      <w:szCs w:val="21"/>
                      <w:highlight w:val="none"/>
                      <w:lang w:val="en-US" w:eastAsia="zh-CN"/>
                    </w:rPr>
                    <w:t>mg/m</w:t>
                  </w:r>
                  <w:r>
                    <w:rPr>
                      <w:rFonts w:hint="eastAsia" w:ascii="Times New Roman" w:hAnsi="Times New Roman" w:eastAsia="宋体" w:cs="Times New Roman"/>
                      <w:b w:val="0"/>
                      <w:bCs w:val="0"/>
                      <w:color w:val="auto"/>
                      <w:sz w:val="21"/>
                      <w:szCs w:val="21"/>
                      <w:highlight w:val="none"/>
                      <w:vertAlign w:val="superscript"/>
                      <w:lang w:val="en-US" w:eastAsia="zh-CN"/>
                    </w:rPr>
                    <w:t>3</w:t>
                  </w:r>
                </w:p>
              </w:tc>
              <w:tc>
                <w:tcPr>
                  <w:tcW w:w="452" w:type="pct"/>
                  <w:tcBorders>
                    <w:tl2br w:val="nil"/>
                    <w:tr2bl w:val="nil"/>
                  </w:tcBorders>
                  <w:noWrap w:val="0"/>
                  <w:vAlign w:val="center"/>
                </w:tcPr>
                <w:p w14:paraId="390FA84F">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排放速率</w:t>
                  </w:r>
                  <w:r>
                    <w:rPr>
                      <w:rFonts w:hint="eastAsia" w:ascii="Times New Roman" w:hAnsi="Times New Roman" w:eastAsia="宋体" w:cs="Times New Roman"/>
                      <w:b w:val="0"/>
                      <w:bCs w:val="0"/>
                      <w:color w:val="auto"/>
                      <w:sz w:val="21"/>
                      <w:szCs w:val="21"/>
                      <w:highlight w:val="none"/>
                      <w:lang w:val="en-US" w:eastAsia="zh-CN"/>
                    </w:rPr>
                    <w:t>kg/h</w:t>
                  </w:r>
                </w:p>
              </w:tc>
              <w:tc>
                <w:tcPr>
                  <w:tcW w:w="512" w:type="pct"/>
                  <w:tcBorders>
                    <w:tl2br w:val="nil"/>
                    <w:tr2bl w:val="nil"/>
                  </w:tcBorders>
                  <w:noWrap w:val="0"/>
                  <w:vAlign w:val="center"/>
                </w:tcPr>
                <w:p w14:paraId="6BFBC459">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排放量</w:t>
                  </w:r>
                  <w:r>
                    <w:rPr>
                      <w:rFonts w:hint="eastAsia" w:ascii="Times New Roman" w:hAnsi="Times New Roman" w:eastAsia="宋体" w:cs="Times New Roman"/>
                      <w:b w:val="0"/>
                      <w:bCs w:val="0"/>
                      <w:color w:val="auto"/>
                      <w:sz w:val="21"/>
                      <w:szCs w:val="21"/>
                      <w:highlight w:val="none"/>
                      <w:lang w:val="en-US" w:eastAsia="zh-CN"/>
                    </w:rPr>
                    <w:t>t/a</w:t>
                  </w:r>
                </w:p>
              </w:tc>
              <w:tc>
                <w:tcPr>
                  <w:tcW w:w="441" w:type="pct"/>
                  <w:tcBorders>
                    <w:tl2br w:val="nil"/>
                    <w:tr2bl w:val="nil"/>
                  </w:tcBorders>
                  <w:noWrap w:val="0"/>
                  <w:vAlign w:val="center"/>
                </w:tcPr>
                <w:p w14:paraId="4F320CDE">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排放时间</w:t>
                  </w:r>
                </w:p>
              </w:tc>
            </w:tr>
            <w:tr w14:paraId="3CA2A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97" w:type="pct"/>
                  <w:vMerge w:val="restart"/>
                  <w:tcBorders>
                    <w:tl2br w:val="nil"/>
                    <w:tr2bl w:val="nil"/>
                  </w:tcBorders>
                  <w:noWrap w:val="0"/>
                  <w:vAlign w:val="center"/>
                </w:tcPr>
                <w:p w14:paraId="03EC5CBE">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调胶施胶</w:t>
                  </w:r>
                </w:p>
              </w:tc>
              <w:tc>
                <w:tcPr>
                  <w:tcW w:w="300" w:type="pct"/>
                  <w:vMerge w:val="restart"/>
                  <w:tcBorders>
                    <w:tl2br w:val="nil"/>
                    <w:tr2bl w:val="nil"/>
                  </w:tcBorders>
                  <w:noWrap w:val="0"/>
                  <w:vAlign w:val="center"/>
                </w:tcPr>
                <w:p w14:paraId="005522CC">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非甲烷总烃</w:t>
                  </w:r>
                </w:p>
              </w:tc>
              <w:tc>
                <w:tcPr>
                  <w:tcW w:w="340" w:type="pct"/>
                  <w:tcBorders>
                    <w:tl2br w:val="nil"/>
                    <w:tr2bl w:val="nil"/>
                  </w:tcBorders>
                  <w:noWrap w:val="0"/>
                  <w:vAlign w:val="center"/>
                </w:tcPr>
                <w:p w14:paraId="17FC9D68">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有组织排放</w:t>
                  </w:r>
                </w:p>
              </w:tc>
              <w:tc>
                <w:tcPr>
                  <w:tcW w:w="502" w:type="pct"/>
                  <w:tcBorders>
                    <w:tl2br w:val="nil"/>
                    <w:tr2bl w:val="nil"/>
                  </w:tcBorders>
                  <w:noWrap w:val="0"/>
                  <w:vAlign w:val="center"/>
                </w:tcPr>
                <w:p w14:paraId="2A8CC6C2">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38.03</w:t>
                  </w:r>
                </w:p>
              </w:tc>
              <w:tc>
                <w:tcPr>
                  <w:tcW w:w="492" w:type="pct"/>
                  <w:tcBorders>
                    <w:tl2br w:val="nil"/>
                    <w:tr2bl w:val="nil"/>
                  </w:tcBorders>
                  <w:noWrap w:val="0"/>
                  <w:vAlign w:val="center"/>
                </w:tcPr>
                <w:p w14:paraId="19CCC63E">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0.38</w:t>
                  </w:r>
                </w:p>
              </w:tc>
              <w:tc>
                <w:tcPr>
                  <w:tcW w:w="466" w:type="pct"/>
                  <w:tcBorders>
                    <w:tl2br w:val="nil"/>
                    <w:tr2bl w:val="nil"/>
                  </w:tcBorders>
                  <w:noWrap w:val="0"/>
                  <w:vAlign w:val="center"/>
                </w:tcPr>
                <w:p w14:paraId="69F8B80F">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0.9128</w:t>
                  </w:r>
                </w:p>
              </w:tc>
              <w:tc>
                <w:tcPr>
                  <w:tcW w:w="738" w:type="pct"/>
                  <w:tcBorders>
                    <w:tl2br w:val="nil"/>
                    <w:tr2bl w:val="nil"/>
                  </w:tcBorders>
                  <w:noWrap w:val="0"/>
                  <w:vAlign w:val="center"/>
                </w:tcPr>
                <w:p w14:paraId="239BE1B7">
                  <w:pPr>
                    <w:pStyle w:val="80"/>
                    <w:keepNext w:val="0"/>
                    <w:keepLines w:val="0"/>
                    <w:pageBreakBefore w:val="0"/>
                    <w:kinsoku/>
                    <w:wordWrap/>
                    <w:overflowPunct/>
                    <w:topLinePunct w:val="0"/>
                    <w:bidi w:val="0"/>
                    <w:adjustRightInd w:val="0"/>
                    <w:snapToGrid w:val="0"/>
                    <w:ind w:left="0" w:firstLine="0" w:firstLineChars="0"/>
                    <w:jc w:val="center"/>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b w:val="0"/>
                      <w:bCs w:val="0"/>
                      <w:color w:val="auto"/>
                      <w:sz w:val="21"/>
                      <w:szCs w:val="21"/>
                      <w:highlight w:val="none"/>
                    </w:rPr>
                    <w:t>集气罩+</w:t>
                  </w:r>
                  <w:r>
                    <w:rPr>
                      <w:rFonts w:hint="eastAsia"/>
                      <w:b w:val="0"/>
                      <w:bCs w:val="0"/>
                      <w:color w:val="auto"/>
                      <w:sz w:val="21"/>
                      <w:szCs w:val="21"/>
                      <w:highlight w:val="none"/>
                      <w:lang w:eastAsia="zh-CN"/>
                    </w:rPr>
                    <w:t>二级</w:t>
                  </w:r>
                  <w:r>
                    <w:rPr>
                      <w:b w:val="0"/>
                      <w:bCs w:val="0"/>
                      <w:color w:val="auto"/>
                      <w:sz w:val="21"/>
                      <w:szCs w:val="21"/>
                      <w:highlight w:val="none"/>
                    </w:rPr>
                    <w:t>活性炭吸附+15m高排气筒</w:t>
                  </w:r>
                  <w:r>
                    <w:rPr>
                      <w:rFonts w:hint="eastAsia"/>
                      <w:b w:val="0"/>
                      <w:bCs w:val="0"/>
                      <w:color w:val="auto"/>
                      <w:sz w:val="21"/>
                      <w:szCs w:val="21"/>
                      <w:highlight w:val="none"/>
                      <w:lang w:eastAsia="zh-CN"/>
                    </w:rPr>
                    <w:t>（</w:t>
                  </w:r>
                  <w:r>
                    <w:rPr>
                      <w:rFonts w:hint="eastAsia"/>
                      <w:b w:val="0"/>
                      <w:bCs w:val="0"/>
                      <w:color w:val="auto"/>
                      <w:sz w:val="21"/>
                      <w:szCs w:val="21"/>
                      <w:highlight w:val="none"/>
                      <w:lang w:val="en-US" w:eastAsia="zh-CN"/>
                    </w:rPr>
                    <w:t>DA001</w:t>
                  </w:r>
                  <w:r>
                    <w:rPr>
                      <w:rFonts w:hint="eastAsia"/>
                      <w:b w:val="0"/>
                      <w:bCs w:val="0"/>
                      <w:color w:val="auto"/>
                      <w:sz w:val="21"/>
                      <w:szCs w:val="21"/>
                      <w:highlight w:val="none"/>
                      <w:lang w:eastAsia="zh-CN"/>
                    </w:rPr>
                    <w:t>）</w:t>
                  </w:r>
                </w:p>
              </w:tc>
              <w:tc>
                <w:tcPr>
                  <w:tcW w:w="455" w:type="pct"/>
                  <w:tcBorders>
                    <w:tl2br w:val="nil"/>
                    <w:tr2bl w:val="nil"/>
                  </w:tcBorders>
                  <w:noWrap w:val="0"/>
                  <w:vAlign w:val="center"/>
                </w:tcPr>
                <w:p w14:paraId="6BFD038A">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9.51</w:t>
                  </w:r>
                </w:p>
              </w:tc>
              <w:tc>
                <w:tcPr>
                  <w:tcW w:w="452" w:type="pct"/>
                  <w:tcBorders>
                    <w:tl2br w:val="nil"/>
                    <w:tr2bl w:val="nil"/>
                  </w:tcBorders>
                  <w:noWrap w:val="0"/>
                  <w:vAlign w:val="center"/>
                </w:tcPr>
                <w:p w14:paraId="65C1A4FD">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0.095</w:t>
                  </w:r>
                </w:p>
              </w:tc>
              <w:tc>
                <w:tcPr>
                  <w:tcW w:w="512" w:type="pct"/>
                  <w:tcBorders>
                    <w:tl2br w:val="nil"/>
                    <w:tr2bl w:val="nil"/>
                  </w:tcBorders>
                  <w:noWrap w:val="0"/>
                  <w:vAlign w:val="center"/>
                </w:tcPr>
                <w:p w14:paraId="0FE903C6">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0.2282</w:t>
                  </w:r>
                </w:p>
              </w:tc>
              <w:tc>
                <w:tcPr>
                  <w:tcW w:w="441" w:type="pct"/>
                  <w:vMerge w:val="restart"/>
                  <w:tcBorders>
                    <w:tl2br w:val="nil"/>
                    <w:tr2bl w:val="nil"/>
                  </w:tcBorders>
                  <w:noWrap w:val="0"/>
                  <w:vAlign w:val="center"/>
                </w:tcPr>
                <w:p w14:paraId="24D53928">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2400</w:t>
                  </w:r>
                </w:p>
              </w:tc>
            </w:tr>
            <w:tr w14:paraId="0C0D14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97" w:type="pct"/>
                  <w:vMerge w:val="continue"/>
                  <w:tcBorders>
                    <w:tl2br w:val="nil"/>
                    <w:tr2bl w:val="nil"/>
                  </w:tcBorders>
                  <w:noWrap w:val="0"/>
                  <w:vAlign w:val="center"/>
                </w:tcPr>
                <w:p w14:paraId="2C3CCCBE">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p>
              </w:tc>
              <w:tc>
                <w:tcPr>
                  <w:tcW w:w="300" w:type="pct"/>
                  <w:vMerge w:val="continue"/>
                  <w:tcBorders>
                    <w:tl2br w:val="nil"/>
                    <w:tr2bl w:val="nil"/>
                  </w:tcBorders>
                  <w:noWrap w:val="0"/>
                  <w:vAlign w:val="center"/>
                </w:tcPr>
                <w:p w14:paraId="43C16ED8">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p>
              </w:tc>
              <w:tc>
                <w:tcPr>
                  <w:tcW w:w="340" w:type="pct"/>
                  <w:tcBorders>
                    <w:tl2br w:val="nil"/>
                    <w:tr2bl w:val="nil"/>
                  </w:tcBorders>
                  <w:noWrap w:val="0"/>
                  <w:vAlign w:val="center"/>
                </w:tcPr>
                <w:p w14:paraId="7E599E23">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sz w:val="21"/>
                      <w:szCs w:val="21"/>
                      <w:highlight w:val="none"/>
                      <w:vertAlign w:val="baseline"/>
                      <w:lang w:val="en-US" w:eastAsia="zh-CN"/>
                    </w:rPr>
                    <w:t>无组织排放</w:t>
                  </w:r>
                </w:p>
              </w:tc>
              <w:tc>
                <w:tcPr>
                  <w:tcW w:w="502" w:type="pct"/>
                  <w:tcBorders>
                    <w:tl2br w:val="nil"/>
                    <w:tr2bl w:val="nil"/>
                  </w:tcBorders>
                  <w:noWrap w:val="0"/>
                  <w:vAlign w:val="center"/>
                </w:tcPr>
                <w:p w14:paraId="1B558102">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w:t>
                  </w:r>
                </w:p>
              </w:tc>
              <w:tc>
                <w:tcPr>
                  <w:tcW w:w="492" w:type="pct"/>
                  <w:tcBorders>
                    <w:tl2br w:val="nil"/>
                    <w:tr2bl w:val="nil"/>
                  </w:tcBorders>
                  <w:noWrap w:val="0"/>
                  <w:vAlign w:val="center"/>
                </w:tcPr>
                <w:p w14:paraId="07B7A8FD">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0.095</w:t>
                  </w:r>
                </w:p>
              </w:tc>
              <w:tc>
                <w:tcPr>
                  <w:tcW w:w="466" w:type="pct"/>
                  <w:tcBorders>
                    <w:tl2br w:val="nil"/>
                    <w:tr2bl w:val="nil"/>
                  </w:tcBorders>
                  <w:noWrap w:val="0"/>
                  <w:vAlign w:val="center"/>
                </w:tcPr>
                <w:p w14:paraId="43DCD9A9">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0.2282</w:t>
                  </w:r>
                </w:p>
              </w:tc>
              <w:tc>
                <w:tcPr>
                  <w:tcW w:w="738" w:type="pct"/>
                  <w:tcBorders>
                    <w:tl2br w:val="nil"/>
                    <w:tr2bl w:val="nil"/>
                  </w:tcBorders>
                  <w:noWrap w:val="0"/>
                  <w:vAlign w:val="center"/>
                </w:tcPr>
                <w:p w14:paraId="5C86BD81">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加强通风</w:t>
                  </w:r>
                </w:p>
              </w:tc>
              <w:tc>
                <w:tcPr>
                  <w:tcW w:w="455" w:type="pct"/>
                  <w:tcBorders>
                    <w:tl2br w:val="nil"/>
                    <w:tr2bl w:val="nil"/>
                  </w:tcBorders>
                  <w:noWrap w:val="0"/>
                  <w:vAlign w:val="center"/>
                </w:tcPr>
                <w:p w14:paraId="7201B194">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w:t>
                  </w:r>
                </w:p>
              </w:tc>
              <w:tc>
                <w:tcPr>
                  <w:tcW w:w="452" w:type="pct"/>
                  <w:tcBorders>
                    <w:tl2br w:val="nil"/>
                    <w:tr2bl w:val="nil"/>
                  </w:tcBorders>
                  <w:noWrap w:val="0"/>
                  <w:vAlign w:val="center"/>
                </w:tcPr>
                <w:p w14:paraId="083D2DE5">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0.095</w:t>
                  </w:r>
                </w:p>
              </w:tc>
              <w:tc>
                <w:tcPr>
                  <w:tcW w:w="512" w:type="pct"/>
                  <w:tcBorders>
                    <w:tl2br w:val="nil"/>
                    <w:tr2bl w:val="nil"/>
                  </w:tcBorders>
                  <w:noWrap w:val="0"/>
                  <w:vAlign w:val="center"/>
                </w:tcPr>
                <w:p w14:paraId="22E0A42A">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eastAsia="宋体" w:cs="Times New Roman"/>
                      <w:b w:val="0"/>
                      <w:bCs w:val="0"/>
                      <w:color w:val="auto"/>
                      <w:kern w:val="0"/>
                      <w:sz w:val="21"/>
                      <w:szCs w:val="21"/>
                      <w:highlight w:val="none"/>
                      <w:vertAlign w:val="baseline"/>
                      <w:lang w:val="en-US" w:eastAsia="zh-CN" w:bidi="ar-SA"/>
                    </w:rPr>
                    <w:t>0.2282</w:t>
                  </w:r>
                </w:p>
              </w:tc>
              <w:tc>
                <w:tcPr>
                  <w:tcW w:w="441" w:type="pct"/>
                  <w:vMerge w:val="continue"/>
                  <w:tcBorders>
                    <w:tl2br w:val="nil"/>
                    <w:tr2bl w:val="nil"/>
                  </w:tcBorders>
                  <w:noWrap w:val="0"/>
                  <w:vAlign w:val="center"/>
                </w:tcPr>
                <w:p w14:paraId="21F1CA14">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both"/>
                    <w:textAlignment w:val="auto"/>
                    <w:rPr>
                      <w:rFonts w:hint="eastAsia" w:ascii="Times New Roman" w:hAnsi="Times New Roman" w:eastAsia="宋体" w:cs="Times New Roman"/>
                      <w:b w:val="0"/>
                      <w:bCs w:val="0"/>
                      <w:color w:val="auto"/>
                      <w:sz w:val="21"/>
                      <w:szCs w:val="21"/>
                      <w:highlight w:val="none"/>
                      <w:vertAlign w:val="baseline"/>
                      <w:lang w:val="en-US" w:eastAsia="zh-CN"/>
                    </w:rPr>
                  </w:pPr>
                </w:p>
              </w:tc>
            </w:tr>
          </w:tbl>
          <w:p w14:paraId="2CD834F0">
            <w:pPr>
              <w:pStyle w:val="53"/>
              <w:bidi w:val="0"/>
              <w:jc w:val="both"/>
              <w:rPr>
                <w:rFonts w:hint="eastAsia" w:ascii="Times New Roman" w:hAnsi="Times New Roman" w:eastAsia="宋体" w:cs="Times New Roman"/>
                <w:color w:val="auto"/>
                <w:spacing w:val="0"/>
                <w:kern w:val="0"/>
                <w:sz w:val="24"/>
                <w:szCs w:val="24"/>
                <w:lang w:val="en-US" w:eastAsia="zh-CN" w:bidi="ar-SA"/>
              </w:rPr>
            </w:pPr>
            <w:r>
              <w:rPr>
                <w:rFonts w:hint="eastAsia" w:ascii="Times New Roman" w:hAnsi="Times New Roman" w:eastAsia="宋体" w:cs="Times New Roman"/>
                <w:color w:val="auto"/>
                <w:spacing w:val="0"/>
                <w:kern w:val="0"/>
                <w:sz w:val="24"/>
                <w:szCs w:val="24"/>
                <w:lang w:val="en-US" w:eastAsia="zh-CN" w:bidi="ar-SA"/>
              </w:rPr>
              <w:t>（2）排放口信息</w:t>
            </w:r>
          </w:p>
          <w:p w14:paraId="10949F66">
            <w:pPr>
              <w:pStyle w:val="83"/>
              <w:spacing w:before="0" w:beforeLines="0" w:line="360" w:lineRule="auto"/>
              <w:rPr>
                <w:color w:val="000000"/>
                <w:sz w:val="21"/>
                <w:szCs w:val="21"/>
                <w:highlight w:val="none"/>
                <w:lang w:val="en-US" w:eastAsia="zh-CN"/>
              </w:rPr>
            </w:pPr>
            <w:r>
              <w:rPr>
                <w:color w:val="000000"/>
                <w:sz w:val="21"/>
                <w:szCs w:val="21"/>
                <w:highlight w:val="none"/>
                <w:lang w:val="en-US" w:eastAsia="zh-CN"/>
              </w:rPr>
              <w:t>表4-</w:t>
            </w:r>
            <w:r>
              <w:rPr>
                <w:rFonts w:hint="eastAsia"/>
                <w:color w:val="000000"/>
                <w:sz w:val="21"/>
                <w:szCs w:val="21"/>
                <w:highlight w:val="none"/>
                <w:lang w:val="en-US" w:eastAsia="zh-CN"/>
              </w:rPr>
              <w:t>2</w:t>
            </w:r>
            <w:r>
              <w:rPr>
                <w:color w:val="000000"/>
                <w:sz w:val="21"/>
                <w:szCs w:val="21"/>
                <w:highlight w:val="none"/>
                <w:lang w:val="en-US" w:eastAsia="zh-CN"/>
              </w:rPr>
              <w:t xml:space="preserve"> </w:t>
            </w:r>
            <w:r>
              <w:rPr>
                <w:rFonts w:hint="eastAsia"/>
                <w:color w:val="000000"/>
                <w:sz w:val="21"/>
                <w:szCs w:val="21"/>
                <w:highlight w:val="none"/>
                <w:lang w:val="en-US" w:eastAsia="zh-CN"/>
              </w:rPr>
              <w:t>排放口基本</w:t>
            </w:r>
            <w:r>
              <w:rPr>
                <w:color w:val="000000"/>
                <w:sz w:val="21"/>
                <w:szCs w:val="21"/>
                <w:highlight w:val="none"/>
                <w:lang w:val="en-US" w:eastAsia="zh-CN"/>
              </w:rPr>
              <w:t>情况一览表</w:t>
            </w:r>
          </w:p>
          <w:tbl>
            <w:tblPr>
              <w:tblStyle w:val="20"/>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02"/>
              <w:gridCol w:w="878"/>
              <w:gridCol w:w="1051"/>
              <w:gridCol w:w="1090"/>
              <w:gridCol w:w="1166"/>
              <w:gridCol w:w="992"/>
              <w:gridCol w:w="692"/>
              <w:gridCol w:w="735"/>
            </w:tblGrid>
            <w:tr w14:paraId="107FDE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0" w:type="pct"/>
                  <w:vMerge w:val="restart"/>
                  <w:tcBorders>
                    <w:tl2br w:val="nil"/>
                    <w:tr2bl w:val="nil"/>
                  </w:tcBorders>
                  <w:noWrap w:val="0"/>
                  <w:vAlign w:val="center"/>
                </w:tcPr>
                <w:p w14:paraId="5ABA6FB0">
                  <w:pPr>
                    <w:pStyle w:val="13"/>
                    <w:jc w:val="center"/>
                    <w:rPr>
                      <w:rFonts w:hint="eastAsia"/>
                      <w:b/>
                      <w:bCs/>
                      <w:color w:val="000000"/>
                      <w:sz w:val="21"/>
                      <w:szCs w:val="21"/>
                      <w:highlight w:val="none"/>
                      <w:lang w:eastAsia="zh-CN"/>
                    </w:rPr>
                  </w:pPr>
                  <w:r>
                    <w:rPr>
                      <w:rFonts w:hint="eastAsia"/>
                      <w:b/>
                      <w:bCs/>
                      <w:color w:val="000000"/>
                      <w:sz w:val="21"/>
                      <w:szCs w:val="21"/>
                      <w:highlight w:val="none"/>
                      <w:lang w:eastAsia="zh-CN"/>
                    </w:rPr>
                    <w:t>编号</w:t>
                  </w:r>
                </w:p>
              </w:tc>
              <w:tc>
                <w:tcPr>
                  <w:tcW w:w="594" w:type="pct"/>
                  <w:vMerge w:val="restart"/>
                  <w:tcBorders>
                    <w:tl2br w:val="nil"/>
                    <w:tr2bl w:val="nil"/>
                  </w:tcBorders>
                  <w:noWrap w:val="0"/>
                  <w:vAlign w:val="center"/>
                </w:tcPr>
                <w:p w14:paraId="1B2BB814">
                  <w:pPr>
                    <w:pStyle w:val="13"/>
                    <w:jc w:val="center"/>
                    <w:rPr>
                      <w:rFonts w:hint="eastAsia"/>
                      <w:b/>
                      <w:bCs/>
                      <w:color w:val="000000"/>
                      <w:sz w:val="21"/>
                      <w:szCs w:val="21"/>
                      <w:highlight w:val="none"/>
                    </w:rPr>
                  </w:pPr>
                  <w:r>
                    <w:rPr>
                      <w:rFonts w:hint="eastAsia"/>
                      <w:b/>
                      <w:bCs/>
                      <w:color w:val="000000"/>
                      <w:sz w:val="21"/>
                      <w:szCs w:val="21"/>
                      <w:highlight w:val="none"/>
                      <w:lang w:eastAsia="zh-CN"/>
                    </w:rPr>
                    <w:t>排气筒名称</w:t>
                  </w:r>
                </w:p>
              </w:tc>
              <w:tc>
                <w:tcPr>
                  <w:tcW w:w="520" w:type="pct"/>
                  <w:vMerge w:val="restart"/>
                  <w:tcBorders>
                    <w:tl2br w:val="nil"/>
                    <w:tr2bl w:val="nil"/>
                  </w:tcBorders>
                  <w:noWrap w:val="0"/>
                  <w:vAlign w:val="center"/>
                </w:tcPr>
                <w:p w14:paraId="7CF47620">
                  <w:pPr>
                    <w:pStyle w:val="13"/>
                    <w:jc w:val="center"/>
                    <w:rPr>
                      <w:rFonts w:hint="eastAsia"/>
                      <w:b/>
                      <w:bCs/>
                      <w:color w:val="000000"/>
                      <w:sz w:val="21"/>
                      <w:szCs w:val="21"/>
                      <w:highlight w:val="none"/>
                      <w:lang w:eastAsia="zh-CN"/>
                    </w:rPr>
                  </w:pPr>
                  <w:r>
                    <w:rPr>
                      <w:rFonts w:hint="eastAsia"/>
                      <w:b/>
                      <w:bCs/>
                      <w:color w:val="000000"/>
                      <w:sz w:val="21"/>
                      <w:szCs w:val="21"/>
                      <w:highlight w:val="none"/>
                      <w:lang w:eastAsia="zh-CN"/>
                    </w:rPr>
                    <w:t>污染物</w:t>
                  </w:r>
                </w:p>
              </w:tc>
              <w:tc>
                <w:tcPr>
                  <w:tcW w:w="1269" w:type="pct"/>
                  <w:gridSpan w:val="2"/>
                  <w:tcBorders>
                    <w:tl2br w:val="nil"/>
                    <w:tr2bl w:val="nil"/>
                  </w:tcBorders>
                  <w:noWrap w:val="0"/>
                  <w:vAlign w:val="center"/>
                </w:tcPr>
                <w:p w14:paraId="6795220A">
                  <w:pPr>
                    <w:pStyle w:val="13"/>
                    <w:jc w:val="center"/>
                    <w:rPr>
                      <w:rFonts w:hint="eastAsia"/>
                      <w:b/>
                      <w:bCs/>
                      <w:color w:val="000000"/>
                      <w:sz w:val="21"/>
                      <w:szCs w:val="21"/>
                      <w:highlight w:val="none"/>
                    </w:rPr>
                  </w:pPr>
                  <w:r>
                    <w:rPr>
                      <w:rFonts w:hint="eastAsia"/>
                      <w:b/>
                      <w:bCs/>
                      <w:color w:val="000000"/>
                      <w:sz w:val="21"/>
                      <w:szCs w:val="21"/>
                      <w:highlight w:val="none"/>
                      <w:lang w:eastAsia="zh-CN"/>
                    </w:rPr>
                    <w:t>排气筒坐标</w:t>
                  </w:r>
                </w:p>
              </w:tc>
              <w:tc>
                <w:tcPr>
                  <w:tcW w:w="691" w:type="pct"/>
                  <w:vMerge w:val="restart"/>
                  <w:tcBorders>
                    <w:tl2br w:val="nil"/>
                    <w:tr2bl w:val="nil"/>
                  </w:tcBorders>
                  <w:noWrap w:val="0"/>
                  <w:vAlign w:val="center"/>
                </w:tcPr>
                <w:p w14:paraId="680D9710">
                  <w:pPr>
                    <w:spacing w:line="240" w:lineRule="auto"/>
                    <w:jc w:val="center"/>
                    <w:rPr>
                      <w:rFonts w:hint="eastAsia"/>
                      <w:b/>
                      <w:bCs/>
                      <w:color w:val="000000"/>
                      <w:sz w:val="21"/>
                      <w:szCs w:val="21"/>
                      <w:highlight w:val="none"/>
                      <w:lang w:val="en-US" w:eastAsia="zh-CN"/>
                    </w:rPr>
                  </w:pPr>
                  <w:r>
                    <w:rPr>
                      <w:rFonts w:hint="eastAsia"/>
                      <w:b/>
                      <w:bCs/>
                      <w:color w:val="000000"/>
                      <w:sz w:val="21"/>
                      <w:szCs w:val="21"/>
                      <w:highlight w:val="none"/>
                      <w:lang w:eastAsia="zh-CN"/>
                    </w:rPr>
                    <w:t>排气筒高度（</w:t>
                  </w:r>
                  <w:r>
                    <w:rPr>
                      <w:rFonts w:hint="eastAsia"/>
                      <w:b/>
                      <w:bCs/>
                      <w:color w:val="000000"/>
                      <w:sz w:val="21"/>
                      <w:szCs w:val="21"/>
                      <w:highlight w:val="none"/>
                      <w:lang w:val="en-US" w:eastAsia="zh-CN"/>
                    </w:rPr>
                    <w:t>m</w:t>
                  </w:r>
                  <w:r>
                    <w:rPr>
                      <w:rFonts w:hint="eastAsia"/>
                      <w:b/>
                      <w:bCs/>
                      <w:color w:val="000000"/>
                      <w:sz w:val="21"/>
                      <w:szCs w:val="21"/>
                      <w:highlight w:val="none"/>
                      <w:lang w:eastAsia="zh-CN"/>
                    </w:rPr>
                    <w:t>）</w:t>
                  </w:r>
                </w:p>
              </w:tc>
              <w:tc>
                <w:tcPr>
                  <w:tcW w:w="588" w:type="pct"/>
                  <w:vMerge w:val="restart"/>
                  <w:tcBorders>
                    <w:tl2br w:val="nil"/>
                    <w:tr2bl w:val="nil"/>
                  </w:tcBorders>
                  <w:noWrap w:val="0"/>
                  <w:vAlign w:val="center"/>
                </w:tcPr>
                <w:p w14:paraId="03640B9A">
                  <w:pPr>
                    <w:spacing w:line="240" w:lineRule="auto"/>
                    <w:jc w:val="center"/>
                    <w:rPr>
                      <w:rFonts w:hint="eastAsia"/>
                      <w:b/>
                      <w:bCs/>
                      <w:color w:val="000000"/>
                      <w:sz w:val="21"/>
                      <w:szCs w:val="21"/>
                      <w:highlight w:val="none"/>
                      <w:lang w:val="en-US" w:eastAsia="zh-CN"/>
                    </w:rPr>
                  </w:pPr>
                  <w:r>
                    <w:rPr>
                      <w:rFonts w:hint="eastAsia"/>
                      <w:b/>
                      <w:bCs/>
                      <w:color w:val="000000"/>
                      <w:sz w:val="21"/>
                      <w:szCs w:val="21"/>
                      <w:highlight w:val="none"/>
                      <w:lang w:eastAsia="zh-CN"/>
                    </w:rPr>
                    <w:t>排气筒内径（</w:t>
                  </w:r>
                  <w:r>
                    <w:rPr>
                      <w:rFonts w:hint="eastAsia"/>
                      <w:b/>
                      <w:bCs/>
                      <w:color w:val="000000"/>
                      <w:sz w:val="21"/>
                      <w:szCs w:val="21"/>
                      <w:highlight w:val="none"/>
                      <w:lang w:val="en-US" w:eastAsia="zh-CN"/>
                    </w:rPr>
                    <w:t>m</w:t>
                  </w:r>
                  <w:r>
                    <w:rPr>
                      <w:rFonts w:hint="eastAsia"/>
                      <w:b/>
                      <w:bCs/>
                      <w:color w:val="000000"/>
                      <w:sz w:val="21"/>
                      <w:szCs w:val="21"/>
                      <w:highlight w:val="none"/>
                      <w:lang w:eastAsia="zh-CN"/>
                    </w:rPr>
                    <w:t>）</w:t>
                  </w:r>
                </w:p>
              </w:tc>
              <w:tc>
                <w:tcPr>
                  <w:tcW w:w="410" w:type="pct"/>
                  <w:vMerge w:val="restart"/>
                  <w:tcBorders>
                    <w:tl2br w:val="nil"/>
                    <w:tr2bl w:val="nil"/>
                  </w:tcBorders>
                  <w:noWrap w:val="0"/>
                  <w:vAlign w:val="center"/>
                </w:tcPr>
                <w:p w14:paraId="36D2EC70">
                  <w:pPr>
                    <w:spacing w:line="240" w:lineRule="auto"/>
                    <w:jc w:val="center"/>
                    <w:rPr>
                      <w:rFonts w:hint="eastAsia"/>
                      <w:b/>
                      <w:bCs/>
                      <w:color w:val="000000"/>
                      <w:sz w:val="21"/>
                      <w:szCs w:val="21"/>
                      <w:highlight w:val="none"/>
                      <w:lang w:val="en-US" w:eastAsia="zh-CN"/>
                    </w:rPr>
                  </w:pPr>
                  <w:r>
                    <w:rPr>
                      <w:rFonts w:hint="eastAsia"/>
                      <w:b/>
                      <w:bCs/>
                      <w:color w:val="000000"/>
                      <w:sz w:val="21"/>
                      <w:szCs w:val="21"/>
                      <w:highlight w:val="none"/>
                      <w:lang w:eastAsia="zh-CN"/>
                    </w:rPr>
                    <w:t>烟气温度</w:t>
                  </w:r>
                </w:p>
              </w:tc>
              <w:tc>
                <w:tcPr>
                  <w:tcW w:w="435" w:type="pct"/>
                  <w:vMerge w:val="restart"/>
                  <w:tcBorders>
                    <w:tl2br w:val="nil"/>
                    <w:tr2bl w:val="nil"/>
                  </w:tcBorders>
                  <w:noWrap w:val="0"/>
                  <w:vAlign w:val="center"/>
                </w:tcPr>
                <w:p w14:paraId="608D0B5D">
                  <w:pPr>
                    <w:spacing w:line="240" w:lineRule="auto"/>
                    <w:jc w:val="center"/>
                    <w:rPr>
                      <w:rFonts w:hint="eastAsia"/>
                      <w:b/>
                      <w:bCs/>
                      <w:color w:val="000000"/>
                      <w:sz w:val="21"/>
                      <w:szCs w:val="21"/>
                      <w:highlight w:val="none"/>
                      <w:lang w:eastAsia="zh-CN"/>
                    </w:rPr>
                  </w:pPr>
                  <w:r>
                    <w:rPr>
                      <w:rFonts w:hint="eastAsia"/>
                      <w:b/>
                      <w:bCs/>
                      <w:color w:val="000000"/>
                      <w:sz w:val="21"/>
                      <w:szCs w:val="21"/>
                      <w:highlight w:val="none"/>
                      <w:lang w:eastAsia="zh-CN"/>
                    </w:rPr>
                    <w:t>排气筒类型</w:t>
                  </w:r>
                </w:p>
              </w:tc>
            </w:tr>
            <w:tr w14:paraId="24B6FC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90" w:type="pct"/>
                  <w:vMerge w:val="continue"/>
                  <w:tcBorders>
                    <w:tl2br w:val="nil"/>
                    <w:tr2bl w:val="nil"/>
                  </w:tcBorders>
                  <w:noWrap w:val="0"/>
                  <w:vAlign w:val="center"/>
                </w:tcPr>
                <w:p w14:paraId="19CAC3EF">
                  <w:pPr>
                    <w:pStyle w:val="13"/>
                    <w:jc w:val="center"/>
                    <w:rPr>
                      <w:rFonts w:hint="eastAsia"/>
                      <w:color w:val="000000"/>
                      <w:sz w:val="21"/>
                      <w:szCs w:val="21"/>
                      <w:highlight w:val="none"/>
                    </w:rPr>
                  </w:pPr>
                </w:p>
              </w:tc>
              <w:tc>
                <w:tcPr>
                  <w:tcW w:w="594" w:type="pct"/>
                  <w:vMerge w:val="continue"/>
                  <w:tcBorders>
                    <w:tl2br w:val="nil"/>
                    <w:tr2bl w:val="nil"/>
                  </w:tcBorders>
                  <w:noWrap w:val="0"/>
                  <w:vAlign w:val="center"/>
                </w:tcPr>
                <w:p w14:paraId="681ED6AA">
                  <w:pPr>
                    <w:pStyle w:val="13"/>
                    <w:jc w:val="center"/>
                    <w:rPr>
                      <w:rFonts w:hint="eastAsia"/>
                      <w:color w:val="000000"/>
                      <w:sz w:val="21"/>
                      <w:szCs w:val="21"/>
                      <w:highlight w:val="none"/>
                    </w:rPr>
                  </w:pPr>
                </w:p>
              </w:tc>
              <w:tc>
                <w:tcPr>
                  <w:tcW w:w="520" w:type="pct"/>
                  <w:vMerge w:val="continue"/>
                  <w:tcBorders>
                    <w:tl2br w:val="nil"/>
                    <w:tr2bl w:val="nil"/>
                  </w:tcBorders>
                  <w:noWrap w:val="0"/>
                  <w:vAlign w:val="center"/>
                </w:tcPr>
                <w:p w14:paraId="1FD08BBF">
                  <w:pPr>
                    <w:spacing w:line="240" w:lineRule="auto"/>
                    <w:jc w:val="center"/>
                    <w:rPr>
                      <w:rFonts w:hint="eastAsia"/>
                      <w:b/>
                      <w:bCs/>
                      <w:color w:val="000000"/>
                      <w:sz w:val="21"/>
                      <w:szCs w:val="21"/>
                      <w:highlight w:val="none"/>
                      <w:lang w:val="en-US" w:eastAsia="zh-CN"/>
                    </w:rPr>
                  </w:pPr>
                </w:p>
              </w:tc>
              <w:tc>
                <w:tcPr>
                  <w:tcW w:w="623" w:type="pct"/>
                  <w:tcBorders>
                    <w:tl2br w:val="nil"/>
                    <w:tr2bl w:val="nil"/>
                  </w:tcBorders>
                  <w:noWrap w:val="0"/>
                  <w:vAlign w:val="center"/>
                </w:tcPr>
                <w:p w14:paraId="46003373">
                  <w:pPr>
                    <w:spacing w:line="240" w:lineRule="auto"/>
                    <w:jc w:val="center"/>
                    <w:rPr>
                      <w:rFonts w:hint="default"/>
                      <w:b/>
                      <w:bCs/>
                      <w:color w:val="000000"/>
                      <w:sz w:val="21"/>
                      <w:szCs w:val="21"/>
                      <w:highlight w:val="none"/>
                      <w:lang w:val="en-US" w:eastAsia="zh-CN"/>
                    </w:rPr>
                  </w:pPr>
                  <w:r>
                    <w:rPr>
                      <w:rFonts w:hint="eastAsia"/>
                      <w:b/>
                      <w:bCs/>
                      <w:color w:val="000000"/>
                      <w:sz w:val="21"/>
                      <w:szCs w:val="21"/>
                      <w:highlight w:val="none"/>
                      <w:lang w:val="en-US" w:eastAsia="zh-CN"/>
                    </w:rPr>
                    <w:t>X</w:t>
                  </w:r>
                </w:p>
              </w:tc>
              <w:tc>
                <w:tcPr>
                  <w:tcW w:w="646" w:type="pct"/>
                  <w:tcBorders>
                    <w:tl2br w:val="nil"/>
                    <w:tr2bl w:val="nil"/>
                  </w:tcBorders>
                  <w:noWrap w:val="0"/>
                  <w:vAlign w:val="center"/>
                </w:tcPr>
                <w:p w14:paraId="68CFD7C9">
                  <w:pPr>
                    <w:spacing w:line="240" w:lineRule="auto"/>
                    <w:jc w:val="center"/>
                    <w:rPr>
                      <w:rFonts w:hint="eastAsia"/>
                      <w:b/>
                      <w:bCs/>
                      <w:color w:val="000000"/>
                      <w:sz w:val="21"/>
                      <w:szCs w:val="21"/>
                      <w:highlight w:val="none"/>
                      <w:lang w:val="en-US" w:eastAsia="zh-CN"/>
                    </w:rPr>
                  </w:pPr>
                  <w:r>
                    <w:rPr>
                      <w:rFonts w:hint="eastAsia"/>
                      <w:b/>
                      <w:bCs/>
                      <w:color w:val="000000"/>
                      <w:sz w:val="21"/>
                      <w:szCs w:val="21"/>
                      <w:highlight w:val="none"/>
                      <w:lang w:val="en-US" w:eastAsia="zh-CN"/>
                    </w:rPr>
                    <w:t>Y</w:t>
                  </w:r>
                </w:p>
              </w:tc>
              <w:tc>
                <w:tcPr>
                  <w:tcW w:w="691" w:type="pct"/>
                  <w:vMerge w:val="continue"/>
                  <w:tcBorders>
                    <w:tl2br w:val="nil"/>
                    <w:tr2bl w:val="nil"/>
                  </w:tcBorders>
                  <w:noWrap w:val="0"/>
                  <w:vAlign w:val="center"/>
                </w:tcPr>
                <w:p w14:paraId="759F8A39">
                  <w:pPr>
                    <w:pStyle w:val="13"/>
                    <w:jc w:val="center"/>
                    <w:rPr>
                      <w:rFonts w:hint="eastAsia"/>
                      <w:color w:val="000000"/>
                      <w:sz w:val="21"/>
                      <w:szCs w:val="21"/>
                      <w:highlight w:val="none"/>
                    </w:rPr>
                  </w:pPr>
                </w:p>
              </w:tc>
              <w:tc>
                <w:tcPr>
                  <w:tcW w:w="588" w:type="pct"/>
                  <w:vMerge w:val="continue"/>
                  <w:tcBorders>
                    <w:tl2br w:val="nil"/>
                    <w:tr2bl w:val="nil"/>
                  </w:tcBorders>
                  <w:noWrap w:val="0"/>
                  <w:vAlign w:val="center"/>
                </w:tcPr>
                <w:p w14:paraId="6FD2C513">
                  <w:pPr>
                    <w:pStyle w:val="13"/>
                    <w:jc w:val="center"/>
                    <w:rPr>
                      <w:rFonts w:hint="eastAsia"/>
                      <w:color w:val="000000"/>
                      <w:sz w:val="21"/>
                      <w:szCs w:val="21"/>
                      <w:highlight w:val="none"/>
                    </w:rPr>
                  </w:pPr>
                </w:p>
              </w:tc>
              <w:tc>
                <w:tcPr>
                  <w:tcW w:w="410" w:type="pct"/>
                  <w:vMerge w:val="continue"/>
                  <w:tcBorders>
                    <w:tl2br w:val="nil"/>
                    <w:tr2bl w:val="nil"/>
                  </w:tcBorders>
                  <w:noWrap w:val="0"/>
                  <w:vAlign w:val="center"/>
                </w:tcPr>
                <w:p w14:paraId="7A0A0896">
                  <w:pPr>
                    <w:pStyle w:val="13"/>
                    <w:jc w:val="center"/>
                    <w:rPr>
                      <w:rFonts w:hint="eastAsia"/>
                      <w:color w:val="000000"/>
                      <w:sz w:val="21"/>
                      <w:szCs w:val="21"/>
                      <w:highlight w:val="none"/>
                    </w:rPr>
                  </w:pPr>
                </w:p>
              </w:tc>
              <w:tc>
                <w:tcPr>
                  <w:tcW w:w="435" w:type="pct"/>
                  <w:vMerge w:val="continue"/>
                  <w:tcBorders>
                    <w:tl2br w:val="nil"/>
                    <w:tr2bl w:val="nil"/>
                  </w:tcBorders>
                  <w:noWrap w:val="0"/>
                  <w:vAlign w:val="center"/>
                </w:tcPr>
                <w:p w14:paraId="34693AA5">
                  <w:pPr>
                    <w:pStyle w:val="13"/>
                    <w:jc w:val="center"/>
                    <w:rPr>
                      <w:rFonts w:hint="eastAsia"/>
                      <w:color w:val="000000"/>
                      <w:sz w:val="21"/>
                      <w:szCs w:val="21"/>
                      <w:highlight w:val="none"/>
                    </w:rPr>
                  </w:pPr>
                </w:p>
              </w:tc>
            </w:tr>
            <w:tr w14:paraId="35F5C6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90" w:type="pct"/>
                  <w:tcBorders>
                    <w:tl2br w:val="nil"/>
                    <w:tr2bl w:val="nil"/>
                  </w:tcBorders>
                  <w:noWrap w:val="0"/>
                  <w:vAlign w:val="center"/>
                </w:tcPr>
                <w:p w14:paraId="3A1ACCCA">
                  <w:pPr>
                    <w:pStyle w:val="13"/>
                    <w:jc w:val="center"/>
                    <w:rPr>
                      <w:rFonts w:hint="default"/>
                      <w:color w:val="000000"/>
                      <w:sz w:val="21"/>
                      <w:szCs w:val="21"/>
                      <w:highlight w:val="none"/>
                      <w:lang w:val="en-US" w:eastAsia="zh-CN"/>
                    </w:rPr>
                  </w:pPr>
                  <w:r>
                    <w:rPr>
                      <w:rFonts w:hint="eastAsia"/>
                      <w:color w:val="000000"/>
                      <w:sz w:val="21"/>
                      <w:szCs w:val="21"/>
                      <w:highlight w:val="none"/>
                      <w:lang w:val="en-US" w:eastAsia="zh-CN"/>
                    </w:rPr>
                    <w:t>DA001</w:t>
                  </w:r>
                </w:p>
              </w:tc>
              <w:tc>
                <w:tcPr>
                  <w:tcW w:w="594" w:type="pct"/>
                  <w:tcBorders>
                    <w:tl2br w:val="nil"/>
                    <w:tr2bl w:val="nil"/>
                  </w:tcBorders>
                  <w:noWrap w:val="0"/>
                  <w:vAlign w:val="center"/>
                </w:tcPr>
                <w:p w14:paraId="68D02139">
                  <w:pPr>
                    <w:pStyle w:val="80"/>
                    <w:bidi w:val="0"/>
                    <w:rPr>
                      <w:rFonts w:hint="default"/>
                      <w:color w:val="000000"/>
                      <w:highlight w:val="none"/>
                      <w:lang w:val="en-US" w:eastAsia="zh-CN"/>
                    </w:rPr>
                  </w:pPr>
                  <w:r>
                    <w:rPr>
                      <w:rFonts w:hint="eastAsia"/>
                      <w:color w:val="000000"/>
                      <w:highlight w:val="none"/>
                      <w:lang w:val="en-US" w:eastAsia="zh-CN"/>
                    </w:rPr>
                    <w:t>中空车间排气筒</w:t>
                  </w:r>
                </w:p>
              </w:tc>
              <w:tc>
                <w:tcPr>
                  <w:tcW w:w="520" w:type="pct"/>
                  <w:tcBorders>
                    <w:tl2br w:val="nil"/>
                    <w:tr2bl w:val="nil"/>
                  </w:tcBorders>
                  <w:noWrap w:val="0"/>
                  <w:vAlign w:val="center"/>
                </w:tcPr>
                <w:p w14:paraId="2A9848DD">
                  <w:pPr>
                    <w:pStyle w:val="13"/>
                    <w:jc w:val="center"/>
                    <w:rPr>
                      <w:rFonts w:hint="eastAsia" w:eastAsia="宋体"/>
                      <w:color w:val="000000"/>
                      <w:sz w:val="21"/>
                      <w:szCs w:val="21"/>
                      <w:highlight w:val="none"/>
                      <w:lang w:eastAsia="zh-CN"/>
                    </w:rPr>
                  </w:pPr>
                  <w:r>
                    <w:rPr>
                      <w:rFonts w:hint="eastAsia"/>
                      <w:color w:val="000000"/>
                      <w:sz w:val="21"/>
                      <w:szCs w:val="21"/>
                      <w:highlight w:val="none"/>
                      <w:lang w:eastAsia="zh-CN"/>
                    </w:rPr>
                    <w:t>非甲烷总烃</w:t>
                  </w:r>
                </w:p>
              </w:tc>
              <w:tc>
                <w:tcPr>
                  <w:tcW w:w="623" w:type="pct"/>
                  <w:tcBorders>
                    <w:tl2br w:val="nil"/>
                    <w:tr2bl w:val="nil"/>
                  </w:tcBorders>
                  <w:noWrap w:val="0"/>
                  <w:vAlign w:val="center"/>
                </w:tcPr>
                <w:p w14:paraId="0E1C75CD">
                  <w:pPr>
                    <w:pStyle w:val="13"/>
                    <w:jc w:val="center"/>
                    <w:rPr>
                      <w:rFonts w:hint="eastAsia" w:eastAsia="宋体"/>
                      <w:color w:val="000000"/>
                      <w:sz w:val="21"/>
                      <w:szCs w:val="21"/>
                      <w:highlight w:val="none"/>
                      <w:lang w:eastAsia="zh-CN"/>
                    </w:rPr>
                  </w:pPr>
                  <w:r>
                    <w:rPr>
                      <w:rFonts w:hint="eastAsia" w:eastAsia="宋体"/>
                      <w:color w:val="000000"/>
                      <w:sz w:val="21"/>
                      <w:szCs w:val="21"/>
                      <w:highlight w:val="none"/>
                      <w:lang w:eastAsia="zh-CN"/>
                    </w:rPr>
                    <w:t>123.55439555</w:t>
                  </w:r>
                </w:p>
              </w:tc>
              <w:tc>
                <w:tcPr>
                  <w:tcW w:w="646" w:type="pct"/>
                  <w:tcBorders>
                    <w:tl2br w:val="nil"/>
                    <w:tr2bl w:val="nil"/>
                  </w:tcBorders>
                  <w:noWrap w:val="0"/>
                  <w:vAlign w:val="center"/>
                </w:tcPr>
                <w:p w14:paraId="5A1440E4">
                  <w:pPr>
                    <w:pStyle w:val="13"/>
                    <w:jc w:val="center"/>
                    <w:rPr>
                      <w:rFonts w:hint="eastAsia"/>
                      <w:color w:val="000000"/>
                      <w:sz w:val="21"/>
                      <w:szCs w:val="21"/>
                      <w:highlight w:val="none"/>
                    </w:rPr>
                  </w:pPr>
                  <w:r>
                    <w:rPr>
                      <w:rFonts w:hint="eastAsia"/>
                      <w:color w:val="000000"/>
                      <w:sz w:val="21"/>
                      <w:szCs w:val="21"/>
                      <w:highlight w:val="none"/>
                    </w:rPr>
                    <w:t>42.42016864</w:t>
                  </w:r>
                </w:p>
              </w:tc>
              <w:tc>
                <w:tcPr>
                  <w:tcW w:w="691" w:type="pct"/>
                  <w:tcBorders>
                    <w:tl2br w:val="nil"/>
                    <w:tr2bl w:val="nil"/>
                  </w:tcBorders>
                  <w:noWrap w:val="0"/>
                  <w:vAlign w:val="center"/>
                </w:tcPr>
                <w:p w14:paraId="76E583B8">
                  <w:pPr>
                    <w:pStyle w:val="13"/>
                    <w:jc w:val="center"/>
                    <w:rPr>
                      <w:rFonts w:hint="default" w:eastAsia="宋体"/>
                      <w:color w:val="000000"/>
                      <w:sz w:val="21"/>
                      <w:szCs w:val="21"/>
                      <w:highlight w:val="none"/>
                      <w:lang w:val="en-US" w:eastAsia="zh-CN"/>
                    </w:rPr>
                  </w:pPr>
                  <w:r>
                    <w:rPr>
                      <w:rFonts w:hint="eastAsia" w:eastAsia="宋体"/>
                      <w:color w:val="000000"/>
                      <w:sz w:val="21"/>
                      <w:szCs w:val="21"/>
                      <w:highlight w:val="none"/>
                      <w:lang w:val="en-US" w:eastAsia="zh-CN"/>
                    </w:rPr>
                    <w:t>15</w:t>
                  </w:r>
                </w:p>
              </w:tc>
              <w:tc>
                <w:tcPr>
                  <w:tcW w:w="588" w:type="pct"/>
                  <w:tcBorders>
                    <w:tl2br w:val="nil"/>
                    <w:tr2bl w:val="nil"/>
                  </w:tcBorders>
                  <w:noWrap w:val="0"/>
                  <w:vAlign w:val="center"/>
                </w:tcPr>
                <w:p w14:paraId="1466C54A">
                  <w:pPr>
                    <w:pStyle w:val="13"/>
                    <w:jc w:val="center"/>
                    <w:rPr>
                      <w:rFonts w:hint="default" w:eastAsia="宋体"/>
                      <w:color w:val="000000"/>
                      <w:sz w:val="21"/>
                      <w:szCs w:val="21"/>
                      <w:highlight w:val="none"/>
                      <w:lang w:val="en-US" w:eastAsia="zh-CN"/>
                    </w:rPr>
                  </w:pPr>
                  <w:r>
                    <w:rPr>
                      <w:rFonts w:hint="eastAsia"/>
                      <w:color w:val="000000"/>
                      <w:sz w:val="21"/>
                      <w:szCs w:val="21"/>
                      <w:highlight w:val="none"/>
                      <w:lang w:val="en-US" w:eastAsia="zh-CN"/>
                    </w:rPr>
                    <w:t>0.2</w:t>
                  </w:r>
                </w:p>
              </w:tc>
              <w:tc>
                <w:tcPr>
                  <w:tcW w:w="410" w:type="pct"/>
                  <w:tcBorders>
                    <w:tl2br w:val="nil"/>
                    <w:tr2bl w:val="nil"/>
                  </w:tcBorders>
                  <w:noWrap w:val="0"/>
                  <w:vAlign w:val="center"/>
                </w:tcPr>
                <w:p w14:paraId="08C587DA">
                  <w:pPr>
                    <w:pStyle w:val="13"/>
                    <w:jc w:val="center"/>
                    <w:rPr>
                      <w:rFonts w:hint="eastAsia"/>
                      <w:color w:val="000000"/>
                      <w:sz w:val="21"/>
                      <w:szCs w:val="21"/>
                      <w:highlight w:val="none"/>
                    </w:rPr>
                  </w:pPr>
                  <w:r>
                    <w:rPr>
                      <w:rFonts w:hint="eastAsia"/>
                      <w:color w:val="000000"/>
                      <w:sz w:val="21"/>
                      <w:szCs w:val="21"/>
                      <w:highlight w:val="none"/>
                      <w:lang w:val="en-US" w:eastAsia="zh-CN"/>
                    </w:rPr>
                    <w:t>25℃</w:t>
                  </w:r>
                </w:p>
              </w:tc>
              <w:tc>
                <w:tcPr>
                  <w:tcW w:w="435" w:type="pct"/>
                  <w:tcBorders>
                    <w:tl2br w:val="nil"/>
                    <w:tr2bl w:val="nil"/>
                  </w:tcBorders>
                  <w:noWrap w:val="0"/>
                  <w:vAlign w:val="center"/>
                </w:tcPr>
                <w:p w14:paraId="4336D323">
                  <w:pPr>
                    <w:pStyle w:val="13"/>
                    <w:jc w:val="center"/>
                    <w:rPr>
                      <w:rFonts w:hint="default"/>
                      <w:color w:val="000000"/>
                      <w:sz w:val="21"/>
                      <w:szCs w:val="21"/>
                      <w:highlight w:val="none"/>
                      <w:lang w:val="en-US" w:eastAsia="zh-CN"/>
                    </w:rPr>
                  </w:pPr>
                  <w:r>
                    <w:rPr>
                      <w:rFonts w:hint="eastAsia"/>
                      <w:color w:val="000000"/>
                      <w:sz w:val="21"/>
                      <w:szCs w:val="21"/>
                      <w:highlight w:val="none"/>
                      <w:lang w:val="en-US" w:eastAsia="zh-CN"/>
                    </w:rPr>
                    <w:t>一般排放口</w:t>
                  </w:r>
                </w:p>
              </w:tc>
            </w:tr>
          </w:tbl>
          <w:p w14:paraId="00ADA05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3</w:t>
            </w:r>
            <w:r>
              <w:rPr>
                <w:rFonts w:hint="default" w:ascii="Times New Roman" w:hAnsi="Times New Roman" w:eastAsia="宋体" w:cs="Times New Roman"/>
                <w:bCs/>
                <w:color w:val="auto"/>
                <w:sz w:val="24"/>
                <w:szCs w:val="24"/>
              </w:rPr>
              <w:t>）废气监测要求</w:t>
            </w:r>
          </w:p>
          <w:p w14:paraId="7B1A6A31">
            <w:pPr>
              <w:keepNext w:val="0"/>
              <w:keepLines w:val="0"/>
              <w:pageBreakBefore w:val="0"/>
              <w:widowControl w:val="0"/>
              <w:tabs>
                <w:tab w:val="left" w:leader="middleDot" w:pos="7371"/>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根据《固定污染源排污许可分类管理名录》（2019年版），项目产品为中空玻璃制造，属于</w:t>
            </w:r>
            <w:r>
              <w:rPr>
                <w:rFonts w:hint="default" w:ascii="Times New Roman" w:hAnsi="Times New Roman" w:cs="Times New Roman"/>
                <w:color w:val="auto"/>
                <w:sz w:val="24"/>
                <w:lang w:val="en-US" w:eastAsia="zh-CN"/>
              </w:rPr>
              <w:t>C3042特种玻璃制造制造</w:t>
            </w:r>
            <w:r>
              <w:rPr>
                <w:rFonts w:hint="eastAsia" w:cs="Times New Roman"/>
                <w:bCs/>
                <w:color w:val="auto"/>
                <w:sz w:val="24"/>
                <w:szCs w:val="24"/>
                <w:lang w:val="en-US" w:eastAsia="zh-CN"/>
              </w:rPr>
              <w:t>，属于二十五、非金属矿物制品业65、玻璃制造（特种玻璃制造），排污类别为“简化管理”，</w:t>
            </w:r>
            <w:r>
              <w:rPr>
                <w:rFonts w:hint="default" w:ascii="Times New Roman" w:hAnsi="Times New Roman" w:eastAsia="宋体" w:cs="Times New Roman"/>
                <w:bCs/>
                <w:color w:val="auto"/>
                <w:sz w:val="24"/>
                <w:szCs w:val="24"/>
              </w:rPr>
              <w:t xml:space="preserve">废气监测参照《排污许可证申请与核发技术规范 </w:t>
            </w:r>
            <w:r>
              <w:rPr>
                <w:rFonts w:hint="eastAsia" w:ascii="Times New Roman" w:hAnsi="Times New Roman" w:eastAsia="宋体" w:cs="Times New Roman"/>
                <w:bCs/>
                <w:color w:val="auto"/>
                <w:sz w:val="24"/>
                <w:szCs w:val="24"/>
                <w:lang w:val="en-US" w:eastAsia="zh-CN"/>
              </w:rPr>
              <w:t xml:space="preserve"> </w:t>
            </w:r>
            <w:r>
              <w:rPr>
                <w:rFonts w:hint="eastAsia" w:cs="Times New Roman"/>
                <w:bCs/>
                <w:color w:val="auto"/>
                <w:sz w:val="24"/>
                <w:szCs w:val="24"/>
                <w:lang w:val="en-US" w:eastAsia="zh-CN"/>
              </w:rPr>
              <w:t>总则</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HJ942-2018</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以及</w:t>
            </w:r>
            <w:r>
              <w:rPr>
                <w:rFonts w:hint="default" w:ascii="Times New Roman" w:hAnsi="Times New Roman" w:eastAsia="宋体" w:cs="Times New Roman"/>
                <w:bCs/>
                <w:color w:val="auto"/>
                <w:sz w:val="24"/>
                <w:szCs w:val="24"/>
              </w:rPr>
              <w:t>《排污</w:t>
            </w:r>
            <w:r>
              <w:rPr>
                <w:rFonts w:hint="eastAsia" w:cs="Times New Roman"/>
                <w:bCs/>
                <w:color w:val="auto"/>
                <w:sz w:val="24"/>
                <w:szCs w:val="24"/>
                <w:lang w:val="en-US" w:eastAsia="zh-CN"/>
              </w:rPr>
              <w:t>单位自行监测技术指南</w:t>
            </w:r>
            <w:r>
              <w:rPr>
                <w:rFonts w:hint="default" w:ascii="Times New Roman" w:hAnsi="Times New Roman" w:eastAsia="宋体" w:cs="Times New Roman"/>
                <w:bCs/>
                <w:color w:val="auto"/>
                <w:sz w:val="24"/>
                <w:szCs w:val="24"/>
              </w:rPr>
              <w:t xml:space="preserve"> </w:t>
            </w:r>
            <w:r>
              <w:rPr>
                <w:rFonts w:hint="eastAsia" w:ascii="Times New Roman" w:hAnsi="Times New Roman" w:eastAsia="宋体" w:cs="Times New Roman"/>
                <w:bCs/>
                <w:color w:val="auto"/>
                <w:sz w:val="24"/>
                <w:szCs w:val="24"/>
                <w:lang w:val="en-US" w:eastAsia="zh-CN"/>
              </w:rPr>
              <w:t xml:space="preserve"> </w:t>
            </w:r>
            <w:r>
              <w:rPr>
                <w:rFonts w:hint="eastAsia" w:cs="Times New Roman"/>
                <w:bCs/>
                <w:color w:val="auto"/>
                <w:sz w:val="24"/>
                <w:szCs w:val="24"/>
                <w:lang w:val="en-US" w:eastAsia="zh-CN"/>
              </w:rPr>
              <w:t>总则</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HJ819-2017</w:t>
            </w:r>
            <w:r>
              <w:rPr>
                <w:rFonts w:hint="default" w:ascii="Times New Roman" w:hAnsi="Times New Roman" w:eastAsia="宋体" w:cs="Times New Roman"/>
                <w:bCs/>
                <w:color w:val="auto"/>
                <w:sz w:val="24"/>
                <w:szCs w:val="24"/>
              </w:rPr>
              <w:t>）中</w:t>
            </w:r>
            <w:r>
              <w:rPr>
                <w:rFonts w:hint="eastAsia" w:cs="Times New Roman"/>
                <w:bCs/>
                <w:color w:val="auto"/>
                <w:sz w:val="24"/>
                <w:szCs w:val="24"/>
                <w:lang w:val="en-US" w:eastAsia="zh-CN"/>
              </w:rPr>
              <w:t>简化</w:t>
            </w:r>
            <w:r>
              <w:rPr>
                <w:rFonts w:hint="eastAsia" w:cs="Times New Roman"/>
                <w:bCs/>
                <w:color w:val="auto"/>
                <w:sz w:val="24"/>
                <w:szCs w:val="24"/>
                <w:lang w:eastAsia="zh-CN"/>
              </w:rPr>
              <w:t>管理</w:t>
            </w:r>
            <w:r>
              <w:rPr>
                <w:rFonts w:hint="default" w:ascii="Times New Roman" w:hAnsi="Times New Roman" w:eastAsia="宋体" w:cs="Times New Roman"/>
                <w:bCs/>
                <w:color w:val="auto"/>
                <w:sz w:val="24"/>
                <w:szCs w:val="24"/>
              </w:rPr>
              <w:t>排污单位自行监测相关要求，废气监测要求如下。</w:t>
            </w:r>
          </w:p>
          <w:p w14:paraId="3E71F2E2">
            <w:pPr>
              <w:pStyle w:val="83"/>
              <w:spacing w:before="0" w:beforeLines="0" w:line="360" w:lineRule="auto"/>
              <w:rPr>
                <w:rFonts w:hint="default"/>
                <w:color w:val="000000"/>
                <w:sz w:val="21"/>
                <w:szCs w:val="21"/>
                <w:highlight w:val="none"/>
                <w:lang w:val="en-US" w:eastAsia="zh-CN"/>
              </w:rPr>
            </w:pPr>
            <w:r>
              <w:rPr>
                <w:rFonts w:hint="default"/>
                <w:color w:val="000000"/>
                <w:sz w:val="21"/>
                <w:szCs w:val="21"/>
                <w:highlight w:val="none"/>
                <w:lang w:val="en-US" w:eastAsia="zh-CN"/>
              </w:rPr>
              <w:t>表4-</w:t>
            </w:r>
            <w:r>
              <w:rPr>
                <w:rFonts w:hint="eastAsia"/>
                <w:color w:val="000000"/>
                <w:sz w:val="21"/>
                <w:szCs w:val="21"/>
                <w:highlight w:val="none"/>
                <w:lang w:val="en-US" w:eastAsia="zh-CN"/>
              </w:rPr>
              <w:t xml:space="preserve">3  </w:t>
            </w:r>
            <w:r>
              <w:rPr>
                <w:rFonts w:hint="default"/>
                <w:color w:val="000000"/>
                <w:sz w:val="21"/>
                <w:szCs w:val="21"/>
                <w:highlight w:val="none"/>
                <w:lang w:val="en-US" w:eastAsia="zh-CN"/>
              </w:rPr>
              <w:t>废气监测要求</w:t>
            </w:r>
          </w:p>
          <w:tbl>
            <w:tblPr>
              <w:tblStyle w:val="1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05"/>
              <w:gridCol w:w="1853"/>
              <w:gridCol w:w="2356"/>
              <w:gridCol w:w="2105"/>
            </w:tblGrid>
            <w:tr w14:paraId="6B2C92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05" w:type="dxa"/>
                  <w:tcBorders>
                    <w:tl2br w:val="nil"/>
                    <w:tr2bl w:val="nil"/>
                  </w:tcBorders>
                  <w:noWrap w:val="0"/>
                  <w:vAlign w:val="center"/>
                </w:tcPr>
                <w:p w14:paraId="79FBEAE6">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序号</w:t>
                  </w:r>
                </w:p>
              </w:tc>
              <w:tc>
                <w:tcPr>
                  <w:tcW w:w="1853" w:type="dxa"/>
                  <w:tcBorders>
                    <w:tl2br w:val="nil"/>
                    <w:tr2bl w:val="nil"/>
                  </w:tcBorders>
                  <w:noWrap w:val="0"/>
                  <w:vAlign w:val="center"/>
                </w:tcPr>
                <w:p w14:paraId="6DCFFCD1">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监测点位</w:t>
                  </w:r>
                </w:p>
              </w:tc>
              <w:tc>
                <w:tcPr>
                  <w:tcW w:w="2356" w:type="dxa"/>
                  <w:tcBorders>
                    <w:tl2br w:val="nil"/>
                    <w:tr2bl w:val="nil"/>
                  </w:tcBorders>
                  <w:noWrap w:val="0"/>
                  <w:vAlign w:val="center"/>
                </w:tcPr>
                <w:p w14:paraId="1C5DBAB2">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监测因子</w:t>
                  </w:r>
                </w:p>
              </w:tc>
              <w:tc>
                <w:tcPr>
                  <w:tcW w:w="2105" w:type="dxa"/>
                  <w:tcBorders>
                    <w:tl2br w:val="nil"/>
                    <w:tr2bl w:val="nil"/>
                  </w:tcBorders>
                  <w:noWrap w:val="0"/>
                  <w:vAlign w:val="center"/>
                </w:tcPr>
                <w:p w14:paraId="78B24972">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监测频次</w:t>
                  </w:r>
                </w:p>
              </w:tc>
            </w:tr>
            <w:tr w14:paraId="5CAD82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05" w:type="dxa"/>
                  <w:tcBorders>
                    <w:tl2br w:val="nil"/>
                    <w:tr2bl w:val="nil"/>
                  </w:tcBorders>
                  <w:noWrap w:val="0"/>
                  <w:vAlign w:val="center"/>
                </w:tcPr>
                <w:p w14:paraId="4A7EB540">
                  <w:pPr>
                    <w:adjustRightInd w:val="0"/>
                    <w:snapToGrid w:val="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1</w:t>
                  </w:r>
                </w:p>
              </w:tc>
              <w:tc>
                <w:tcPr>
                  <w:tcW w:w="1853" w:type="dxa"/>
                  <w:tcBorders>
                    <w:tl2br w:val="nil"/>
                    <w:tr2bl w:val="nil"/>
                  </w:tcBorders>
                  <w:noWrap w:val="0"/>
                  <w:vAlign w:val="center"/>
                </w:tcPr>
                <w:p w14:paraId="11C4B5E4">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DA001</w:t>
                  </w:r>
                </w:p>
              </w:tc>
              <w:tc>
                <w:tcPr>
                  <w:tcW w:w="2356" w:type="dxa"/>
                  <w:tcBorders>
                    <w:tl2br w:val="nil"/>
                    <w:tr2bl w:val="nil"/>
                  </w:tcBorders>
                  <w:noWrap w:val="0"/>
                  <w:vAlign w:val="center"/>
                </w:tcPr>
                <w:p w14:paraId="068A263A">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非甲烷总烃</w:t>
                  </w:r>
                </w:p>
              </w:tc>
              <w:tc>
                <w:tcPr>
                  <w:tcW w:w="2105" w:type="dxa"/>
                  <w:tcBorders>
                    <w:tl2br w:val="nil"/>
                    <w:tr2bl w:val="nil"/>
                  </w:tcBorders>
                  <w:noWrap w:val="0"/>
                  <w:vAlign w:val="center"/>
                </w:tcPr>
                <w:p w14:paraId="16816394">
                  <w:pPr>
                    <w:adjustRightInd w:val="0"/>
                    <w:snapToGrid w:val="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1次/</w:t>
                  </w:r>
                  <w:r>
                    <w:rPr>
                      <w:rFonts w:hint="eastAsia" w:ascii="Times New Roman" w:hAnsi="Times New Roman" w:eastAsia="宋体" w:cs="Times New Roman"/>
                      <w:bCs/>
                      <w:color w:val="auto"/>
                      <w:sz w:val="21"/>
                      <w:szCs w:val="21"/>
                      <w:lang w:val="en-US" w:eastAsia="zh-CN"/>
                    </w:rPr>
                    <w:t>年</w:t>
                  </w:r>
                </w:p>
              </w:tc>
            </w:tr>
            <w:tr w14:paraId="2D90F9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05" w:type="dxa"/>
                  <w:tcBorders>
                    <w:tl2br w:val="nil"/>
                    <w:tr2bl w:val="nil"/>
                  </w:tcBorders>
                  <w:noWrap w:val="0"/>
                  <w:vAlign w:val="center"/>
                </w:tcPr>
                <w:p w14:paraId="4CF460AE">
                  <w:pPr>
                    <w:adjustRightInd w:val="0"/>
                    <w:snapToGrid w:val="0"/>
                    <w:jc w:val="center"/>
                    <w:rPr>
                      <w:rFonts w:hint="eastAsia" w:cs="Times New Roman"/>
                      <w:bCs/>
                      <w:color w:val="auto"/>
                      <w:sz w:val="21"/>
                      <w:szCs w:val="21"/>
                      <w:lang w:val="en-US" w:eastAsia="zh-CN"/>
                    </w:rPr>
                  </w:pPr>
                  <w:r>
                    <w:rPr>
                      <w:rFonts w:hint="eastAsia" w:cs="Times New Roman"/>
                      <w:bCs/>
                      <w:color w:val="auto"/>
                      <w:sz w:val="21"/>
                      <w:szCs w:val="21"/>
                      <w:lang w:val="en-US" w:eastAsia="zh-CN"/>
                    </w:rPr>
                    <w:t>2</w:t>
                  </w:r>
                </w:p>
              </w:tc>
              <w:tc>
                <w:tcPr>
                  <w:tcW w:w="1853" w:type="dxa"/>
                  <w:tcBorders>
                    <w:tl2br w:val="nil"/>
                    <w:tr2bl w:val="nil"/>
                  </w:tcBorders>
                  <w:noWrap w:val="0"/>
                  <w:vAlign w:val="center"/>
                </w:tcPr>
                <w:p w14:paraId="65037B05">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厂界</w:t>
                  </w:r>
                </w:p>
              </w:tc>
              <w:tc>
                <w:tcPr>
                  <w:tcW w:w="2356" w:type="dxa"/>
                  <w:tcBorders>
                    <w:tl2br w:val="nil"/>
                    <w:tr2bl w:val="nil"/>
                  </w:tcBorders>
                  <w:noWrap w:val="0"/>
                  <w:vAlign w:val="center"/>
                </w:tcPr>
                <w:p w14:paraId="6B757D96">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非甲烷总烃</w:t>
                  </w:r>
                </w:p>
              </w:tc>
              <w:tc>
                <w:tcPr>
                  <w:tcW w:w="2105" w:type="dxa"/>
                  <w:tcBorders>
                    <w:tl2br w:val="nil"/>
                    <w:tr2bl w:val="nil"/>
                  </w:tcBorders>
                  <w:noWrap w:val="0"/>
                  <w:vAlign w:val="center"/>
                </w:tcPr>
                <w:p w14:paraId="662562AD">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1次/</w:t>
                  </w:r>
                  <w:r>
                    <w:rPr>
                      <w:rFonts w:hint="eastAsia" w:ascii="Times New Roman" w:hAnsi="Times New Roman" w:eastAsia="宋体" w:cs="Times New Roman"/>
                      <w:bCs/>
                      <w:color w:val="auto"/>
                      <w:sz w:val="21"/>
                      <w:szCs w:val="21"/>
                      <w:lang w:val="en-US" w:eastAsia="zh-CN"/>
                    </w:rPr>
                    <w:t>年</w:t>
                  </w:r>
                </w:p>
              </w:tc>
            </w:tr>
            <w:tr w14:paraId="2D3F04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105" w:type="dxa"/>
                  <w:tcBorders>
                    <w:tl2br w:val="nil"/>
                    <w:tr2bl w:val="nil"/>
                  </w:tcBorders>
                  <w:noWrap w:val="0"/>
                  <w:vAlign w:val="center"/>
                </w:tcPr>
                <w:p w14:paraId="123A308B">
                  <w:pPr>
                    <w:adjustRightInd w:val="0"/>
                    <w:snapToGrid w:val="0"/>
                    <w:jc w:val="center"/>
                    <w:rPr>
                      <w:rFonts w:hint="default" w:cs="Times New Roman"/>
                      <w:bCs/>
                      <w:color w:val="auto"/>
                      <w:sz w:val="21"/>
                      <w:szCs w:val="21"/>
                      <w:lang w:val="en-US" w:eastAsia="zh-CN"/>
                    </w:rPr>
                  </w:pPr>
                  <w:r>
                    <w:rPr>
                      <w:rFonts w:hint="eastAsia" w:cs="Times New Roman"/>
                      <w:bCs/>
                      <w:color w:val="auto"/>
                      <w:sz w:val="21"/>
                      <w:szCs w:val="21"/>
                      <w:lang w:val="en-US" w:eastAsia="zh-CN"/>
                    </w:rPr>
                    <w:t>3</w:t>
                  </w:r>
                </w:p>
              </w:tc>
              <w:tc>
                <w:tcPr>
                  <w:tcW w:w="1853" w:type="dxa"/>
                  <w:tcBorders>
                    <w:tl2br w:val="nil"/>
                    <w:tr2bl w:val="nil"/>
                  </w:tcBorders>
                  <w:noWrap w:val="0"/>
                  <w:vAlign w:val="center"/>
                </w:tcPr>
                <w:p w14:paraId="1BFC377C">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厂区内</w:t>
                  </w:r>
                </w:p>
              </w:tc>
              <w:tc>
                <w:tcPr>
                  <w:tcW w:w="2356" w:type="dxa"/>
                  <w:tcBorders>
                    <w:tl2br w:val="nil"/>
                    <w:tr2bl w:val="nil"/>
                  </w:tcBorders>
                  <w:noWrap w:val="0"/>
                  <w:vAlign w:val="center"/>
                </w:tcPr>
                <w:p w14:paraId="5AF451EA">
                  <w:pPr>
                    <w:adjustRightInd w:val="0"/>
                    <w:snapToGrid w:val="0"/>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sz w:val="21"/>
                      <w:szCs w:val="21"/>
                      <w:lang w:val="en-US" w:eastAsia="zh-CN"/>
                    </w:rPr>
                    <w:t>非甲烷总烃</w:t>
                  </w:r>
                </w:p>
              </w:tc>
              <w:tc>
                <w:tcPr>
                  <w:tcW w:w="2105" w:type="dxa"/>
                  <w:tcBorders>
                    <w:tl2br w:val="nil"/>
                    <w:tr2bl w:val="nil"/>
                  </w:tcBorders>
                  <w:noWrap w:val="0"/>
                  <w:vAlign w:val="center"/>
                </w:tcPr>
                <w:p w14:paraId="14CE4CA0">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rPr>
                    <w:t>1次/</w:t>
                  </w:r>
                  <w:r>
                    <w:rPr>
                      <w:rFonts w:hint="eastAsia" w:ascii="Times New Roman" w:hAnsi="Times New Roman" w:eastAsia="宋体" w:cs="Times New Roman"/>
                      <w:bCs/>
                      <w:color w:val="auto"/>
                      <w:sz w:val="21"/>
                      <w:szCs w:val="21"/>
                      <w:lang w:val="en-US" w:eastAsia="zh-CN"/>
                    </w:rPr>
                    <w:t>年</w:t>
                  </w:r>
                </w:p>
              </w:tc>
            </w:tr>
          </w:tbl>
          <w:p w14:paraId="1000229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sz w:val="24"/>
                <w:szCs w:val="24"/>
              </w:rPr>
              <w:t>（</w:t>
            </w:r>
            <w:r>
              <w:rPr>
                <w:rFonts w:hint="eastAsia" w:cs="Times New Roman"/>
                <w:bCs/>
                <w:color w:val="auto"/>
                <w:sz w:val="24"/>
                <w:szCs w:val="24"/>
                <w:lang w:val="en-US" w:eastAsia="zh-CN"/>
              </w:rPr>
              <w:t>4</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处理措施可行性分析</w:t>
            </w:r>
          </w:p>
          <w:p w14:paraId="75C5E3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rPr>
              <w:t>本环评要求在</w:t>
            </w:r>
            <w:r>
              <w:rPr>
                <w:rFonts w:hint="eastAsia"/>
                <w:sz w:val="24"/>
                <w:szCs w:val="24"/>
                <w:lang w:val="en-US" w:eastAsia="zh-CN"/>
              </w:rPr>
              <w:t>涂胶、调胶、封胶工序</w:t>
            </w:r>
            <w:r>
              <w:rPr>
                <w:rFonts w:hint="eastAsia"/>
                <w:sz w:val="24"/>
                <w:szCs w:val="24"/>
                <w:lang w:eastAsia="zh-CN"/>
              </w:rPr>
              <w:t>工序上方安装集气罩收集产生的非甲烷总烃，经二级活性炭处理设施处理后通过</w:t>
            </w:r>
            <w:r>
              <w:rPr>
                <w:rFonts w:hint="eastAsia"/>
                <w:sz w:val="24"/>
                <w:szCs w:val="24"/>
                <w:lang w:val="en-US" w:eastAsia="zh-CN"/>
              </w:rPr>
              <w:t>15m高排气筒排放。</w:t>
            </w:r>
          </w:p>
          <w:p w14:paraId="094252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2"/>
                <w:lang w:val="en-US" w:eastAsia="zh-CN" w:bidi="ar"/>
              </w:rPr>
            </w:pPr>
            <w:r>
              <w:rPr>
                <w:rFonts w:hint="default" w:ascii="Times New Roman" w:hAnsi="Times New Roman" w:eastAsia="宋体" w:cs="Times New Roman"/>
                <w:color w:val="auto"/>
                <w:kern w:val="0"/>
                <w:sz w:val="24"/>
                <w:szCs w:val="22"/>
                <w:lang w:bidi="ar"/>
              </w:rPr>
              <w:t>二级活性炭吸附处理</w:t>
            </w:r>
            <w:r>
              <w:rPr>
                <w:rFonts w:hint="eastAsia" w:ascii="Times New Roman" w:hAnsi="Times New Roman" w:eastAsia="宋体" w:cs="Times New Roman"/>
                <w:color w:val="auto"/>
                <w:kern w:val="0"/>
                <w:sz w:val="24"/>
                <w:szCs w:val="22"/>
                <w:lang w:val="en-US" w:eastAsia="zh-CN" w:bidi="ar"/>
              </w:rPr>
              <w:t>工艺详见下图：</w:t>
            </w:r>
          </w:p>
          <w:p w14:paraId="2EC91FB6">
            <w:pPr>
              <w:spacing w:line="480" w:lineRule="exact"/>
              <w:ind w:right="-20"/>
              <w:jc w:val="center"/>
              <w:rPr>
                <w:b/>
                <w:color w:val="auto"/>
                <w:sz w:val="21"/>
                <w:szCs w:val="21"/>
              </w:rPr>
            </w:pPr>
            <w:r>
              <w:rPr>
                <w:rFonts w:hint="eastAsia"/>
                <w:b/>
                <w:color w:val="auto"/>
                <w:sz w:val="21"/>
                <w:szCs w:val="21"/>
              </w:rPr>
              <w:drawing>
                <wp:anchor distT="0" distB="0" distL="114300" distR="114300" simplePos="0" relativeHeight="251661312" behindDoc="0" locked="0" layoutInCell="1" allowOverlap="1">
                  <wp:simplePos x="0" y="0"/>
                  <wp:positionH relativeFrom="column">
                    <wp:posOffset>274320</wp:posOffset>
                  </wp:positionH>
                  <wp:positionV relativeFrom="paragraph">
                    <wp:posOffset>58420</wp:posOffset>
                  </wp:positionV>
                  <wp:extent cx="4690110" cy="1860550"/>
                  <wp:effectExtent l="0" t="0" r="15240" b="6350"/>
                  <wp:wrapTopAndBottom/>
                  <wp:docPr id="6" name="图片 2" descr="1597288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97288698(1)"/>
                          <pic:cNvPicPr>
                            <a:picLocks noChangeAspect="1"/>
                          </pic:cNvPicPr>
                        </pic:nvPicPr>
                        <pic:blipFill>
                          <a:blip r:embed="rId16"/>
                          <a:stretch>
                            <a:fillRect/>
                          </a:stretch>
                        </pic:blipFill>
                        <pic:spPr>
                          <a:xfrm>
                            <a:off x="0" y="0"/>
                            <a:ext cx="4690110" cy="1860550"/>
                          </a:xfrm>
                          <a:prstGeom prst="rect">
                            <a:avLst/>
                          </a:prstGeom>
                          <a:noFill/>
                          <a:ln>
                            <a:noFill/>
                          </a:ln>
                        </pic:spPr>
                      </pic:pic>
                    </a:graphicData>
                  </a:graphic>
                </wp:anchor>
              </w:drawing>
            </w:r>
            <w:r>
              <w:rPr>
                <w:b/>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1273175</wp:posOffset>
                      </wp:positionH>
                      <wp:positionV relativeFrom="paragraph">
                        <wp:posOffset>1629410</wp:posOffset>
                      </wp:positionV>
                      <wp:extent cx="771525" cy="200025"/>
                      <wp:effectExtent l="4445" t="4445" r="5080" b="5080"/>
                      <wp:wrapNone/>
                      <wp:docPr id="157" name="流程图: 过程 157"/>
                      <wp:cNvGraphicFramePr/>
                      <a:graphic xmlns:a="http://schemas.openxmlformats.org/drawingml/2006/main">
                        <a:graphicData uri="http://schemas.microsoft.com/office/word/2010/wordprocessingShape">
                          <wps:wsp>
                            <wps:cNvSpPr/>
                            <wps:spPr>
                              <a:xfrm>
                                <a:off x="0" y="0"/>
                                <a:ext cx="771525" cy="2000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58B6D133">
                                  <w:pPr>
                                    <w:jc w:val="center"/>
                                  </w:pPr>
                                  <w:r>
                                    <w:rPr>
                                      <w:rFonts w:hint="eastAsia"/>
                                    </w:rPr>
                                    <w:t>活性炭吸附</w:t>
                                  </w:r>
                                </w:p>
                              </w:txbxContent>
                            </wps:txbx>
                            <wps:bodyPr vert="horz" wrap="square" lIns="0" tIns="0" rIns="0" bIns="0" anchor="t" anchorCtr="0" upright="1"/>
                          </wps:wsp>
                        </a:graphicData>
                      </a:graphic>
                    </wp:anchor>
                  </w:drawing>
                </mc:Choice>
                <mc:Fallback>
                  <w:pict>
                    <v:shape id="_x0000_s1026" o:spid="_x0000_s1026" o:spt="109" type="#_x0000_t109" style="position:absolute;left:0pt;margin-left:100.25pt;margin-top:128.3pt;height:15.75pt;width:60.75pt;z-index:251662336;mso-width-relative:page;mso-height-relative:page;" fillcolor="#FFFFFF" filled="t" stroked="t" coordsize="21600,21600" o:gfxdata="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xfWdtoAAAALAQAADwAAAAAAAAAB&#10;ACAAAAAiAAAAZHJzL2Rvd25yZXYueG1sUEsBAhQAFAAAAAgAh07iQNxIYLlHAgAAqAQAAA4AAAAA&#10;AAAAAQAgAAAAKQEAAGRycy9lMm9Eb2MueG1sUEsFBgAAAAAGAAYAWQEAAOIFAAAAAA==&#10;">
                      <v:fill on="t" focussize="0,0"/>
                      <v:stroke color="#000000" joinstyle="miter"/>
                      <v:imagedata o:title=""/>
                      <o:lock v:ext="edit" aspectratio="f"/>
                      <v:textbox inset="0mm,0mm,0mm,0mm">
                        <w:txbxContent>
                          <w:p w14:paraId="58B6D133">
                            <w:pPr>
                              <w:jc w:val="center"/>
                            </w:pPr>
                            <w:r>
                              <w:rPr>
                                <w:rFonts w:hint="eastAsia"/>
                              </w:rPr>
                              <w:t>活性炭吸附</w:t>
                            </w:r>
                          </w:p>
                        </w:txbxContent>
                      </v:textbox>
                    </v:shape>
                  </w:pict>
                </mc:Fallback>
              </mc:AlternateContent>
            </w:r>
            <w:r>
              <w:rPr>
                <w:b/>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2941320</wp:posOffset>
                      </wp:positionH>
                      <wp:positionV relativeFrom="paragraph">
                        <wp:posOffset>1648460</wp:posOffset>
                      </wp:positionV>
                      <wp:extent cx="771525" cy="200025"/>
                      <wp:effectExtent l="4445" t="4445" r="5080" b="5080"/>
                      <wp:wrapNone/>
                      <wp:docPr id="158" name="流程图: 过程 158"/>
                      <wp:cNvGraphicFramePr/>
                      <a:graphic xmlns:a="http://schemas.openxmlformats.org/drawingml/2006/main">
                        <a:graphicData uri="http://schemas.microsoft.com/office/word/2010/wordprocessingShape">
                          <wps:wsp>
                            <wps:cNvSpPr/>
                            <wps:spPr>
                              <a:xfrm>
                                <a:off x="0" y="0"/>
                                <a:ext cx="771525" cy="2000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14:paraId="1A4F6D2D">
                                  <w:pPr>
                                    <w:jc w:val="center"/>
                                  </w:pPr>
                                  <w:r>
                                    <w:rPr>
                                      <w:rFonts w:hint="eastAsia"/>
                                    </w:rPr>
                                    <w:t>活性炭吸附</w:t>
                                  </w:r>
                                </w:p>
                              </w:txbxContent>
                            </wps:txbx>
                            <wps:bodyPr vert="horz" wrap="square" lIns="0" tIns="0" rIns="0" bIns="0" anchor="t" anchorCtr="0" upright="1"/>
                          </wps:wsp>
                        </a:graphicData>
                      </a:graphic>
                    </wp:anchor>
                  </w:drawing>
                </mc:Choice>
                <mc:Fallback>
                  <w:pict>
                    <v:shape id="_x0000_s1026" o:spid="_x0000_s1026" o:spt="109" type="#_x0000_t109" style="position:absolute;left:0pt;margin-left:231.6pt;margin-top:129.8pt;height:15.75pt;width:60.75pt;z-index:251660288;mso-width-relative:page;mso-height-relative:page;" fillcolor="#FFFFFF" filled="t" stroked="t" coordsize="21600,21600" o:gfxdata="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WqFkTcAAAACwEAAA8AAAAAAAAA&#10;AQAgAAAAIgAAAGRycy9kb3ducmV2LnhtbFBLAQIUABQAAAAIAIdO4kBch+zYRgIAAKgEAAAOAAAA&#10;AAAAAAEAIAAAACsBAABkcnMvZTJvRG9jLnhtbFBLBQYAAAAABgAGAFkBAADjBQAAAAA=&#10;">
                      <v:fill on="t" focussize="0,0"/>
                      <v:stroke color="#000000" joinstyle="miter"/>
                      <v:imagedata o:title=""/>
                      <o:lock v:ext="edit" aspectratio="f"/>
                      <v:textbox inset="0mm,0mm,0mm,0mm">
                        <w:txbxContent>
                          <w:p w14:paraId="1A4F6D2D">
                            <w:pPr>
                              <w:jc w:val="center"/>
                            </w:pPr>
                            <w:r>
                              <w:rPr>
                                <w:rFonts w:hint="eastAsia"/>
                              </w:rPr>
                              <w:t>活性炭吸附</w:t>
                            </w:r>
                          </w:p>
                        </w:txbxContent>
                      </v:textbox>
                    </v:shape>
                  </w:pict>
                </mc:Fallback>
              </mc:AlternateContent>
            </w:r>
            <w:r>
              <w:rPr>
                <w:b/>
                <w:color w:val="auto"/>
                <w:sz w:val="21"/>
                <w:szCs w:val="21"/>
              </w:rPr>
              <w:t>图</w:t>
            </w:r>
            <w:r>
              <w:rPr>
                <w:rFonts w:hint="eastAsia"/>
                <w:b/>
                <w:color w:val="auto"/>
                <w:sz w:val="21"/>
                <w:szCs w:val="21"/>
                <w:lang w:val="en-US" w:eastAsia="zh-CN"/>
              </w:rPr>
              <w:t>4-1</w:t>
            </w:r>
            <w:r>
              <w:rPr>
                <w:b/>
                <w:color w:val="auto"/>
                <w:sz w:val="21"/>
                <w:szCs w:val="21"/>
              </w:rPr>
              <w:t xml:space="preserve">  </w:t>
            </w:r>
            <w:r>
              <w:rPr>
                <w:rFonts w:hint="eastAsia"/>
                <w:b/>
                <w:color w:val="auto"/>
                <w:sz w:val="21"/>
                <w:szCs w:val="21"/>
              </w:rPr>
              <w:t>二级活性炭</w:t>
            </w:r>
            <w:r>
              <w:rPr>
                <w:b/>
                <w:color w:val="auto"/>
                <w:sz w:val="21"/>
                <w:szCs w:val="21"/>
              </w:rPr>
              <w:t>吸附系统处理示意图</w:t>
            </w:r>
          </w:p>
          <w:p w14:paraId="60B49E7D">
            <w:pPr>
              <w:keepNext w:val="0"/>
              <w:keepLines w:val="0"/>
              <w:pageBreakBefore w:val="0"/>
              <w:numPr>
                <w:ilvl w:val="0"/>
                <w:numId w:val="7"/>
              </w:numPr>
              <w:kinsoku/>
              <w:wordWrap/>
              <w:overflowPunct/>
              <w:topLinePunct w:val="0"/>
              <w:bidi w:val="0"/>
              <w:adjustRightInd w:val="0"/>
              <w:snapToGrid w:val="0"/>
              <w:spacing w:line="360" w:lineRule="auto"/>
              <w:ind w:left="0" w:firstLine="482" w:firstLineChars="200"/>
              <w:rPr>
                <w:rFonts w:hint="eastAsia" w:ascii="Times New Roman" w:hAnsi="Times New Roman" w:eastAsia="宋体" w:cs="Times New Roman"/>
                <w:b/>
                <w:color w:val="000000"/>
                <w:sz w:val="24"/>
              </w:rPr>
            </w:pPr>
            <w:r>
              <w:rPr>
                <w:rFonts w:hint="eastAsia" w:ascii="Times New Roman" w:hAnsi="Times New Roman" w:eastAsia="宋体" w:cs="Times New Roman"/>
                <w:b/>
                <w:color w:val="000000"/>
                <w:sz w:val="24"/>
              </w:rPr>
              <w:t>活性炭处理有机废气原理</w:t>
            </w:r>
          </w:p>
          <w:p w14:paraId="6B1FB881">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rFonts w:ascii="Times New Roman" w:hAnsi="Times New Roman" w:eastAsia="宋体" w:cs="Times New Roman"/>
                <w:color w:val="auto"/>
                <w:sz w:val="24"/>
              </w:rPr>
            </w:pPr>
            <w:r>
              <w:rPr>
                <w:color w:val="auto"/>
                <w:sz w:val="24"/>
              </w:rPr>
              <w:t>活性炭是一种具有非极性表面、疏水性、亲有机物的吸附剂。所以活性炭常常被用来吸附回收空气中的有机溶剂和恶臭物质，它可以根据需要制成不同性状和粒度，如粉末活性炭、颗粒活性炭及柱状活性炭。活性炭吸附的实质是利用活性炭吸附的特性把低浓度大风量废气中的有机溶剂吸附到活性炭中并浓缩，经活性炭吸附净化后的气体直接排空，其实质是一个吸附浓缩的过程，是一个物理过</w:t>
            </w:r>
            <w:r>
              <w:rPr>
                <w:rFonts w:ascii="Times New Roman" w:hAnsi="Times New Roman" w:eastAsia="宋体" w:cs="Times New Roman"/>
                <w:color w:val="auto"/>
                <w:sz w:val="24"/>
              </w:rPr>
              <w:t>程。</w:t>
            </w:r>
          </w:p>
          <w:p w14:paraId="431CD8C2">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rFonts w:hint="default" w:ascii="Times New Roman" w:hAnsi="Times New Roman" w:eastAsia="宋体" w:cs="Times New Roman"/>
                <w:color w:val="auto"/>
                <w:sz w:val="24"/>
                <w:lang w:val="en-US"/>
              </w:rPr>
            </w:pPr>
            <w:r>
              <w:rPr>
                <w:rFonts w:hint="eastAsia" w:ascii="Times New Roman" w:hAnsi="Times New Roman" w:cs="Times New Roman"/>
                <w:color w:val="auto"/>
                <w:sz w:val="24"/>
                <w:lang w:val="en-US" w:eastAsia="zh-CN"/>
              </w:rPr>
              <w:t>目前市场上存在大量质量低、吸附效果差的活性炭，难以满足挥发性有机物（VOCs）污染控制要求，《2020年挥发性有机物治理攻坚方案》提出“采用活性炭吸附技术的，应选择碘值不低于800毫克/克的活性炭”，目的是引导企业主动使用吸附效率高的活性炭，实现VOCs有效减排。建议企业选择与碘值800毫克/克颗粒状、柱状等活性炭吸附效率相当的蜂窝状活性炭，并按照设计要求足量添加、及时更换</w:t>
            </w:r>
            <w:r>
              <w:rPr>
                <w:rFonts w:hint="eastAsia" w:cs="Times New Roman"/>
                <w:color w:val="auto"/>
                <w:sz w:val="24"/>
                <w:lang w:val="en-US" w:eastAsia="zh-CN"/>
              </w:rPr>
              <w:t>，以达到预期的吸附处理效果。</w:t>
            </w:r>
          </w:p>
          <w:p w14:paraId="349F5972">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rFonts w:hint="eastAsia"/>
                <w:color w:val="auto"/>
                <w:sz w:val="24"/>
                <w:lang w:eastAsia="zh-CN"/>
              </w:rPr>
            </w:pPr>
            <w:r>
              <w:rPr>
                <w:color w:val="auto"/>
                <w:sz w:val="24"/>
              </w:rPr>
              <w:t>1.高效清除废气：该设备能高效去除挥发性有机物（VOC</w:t>
            </w:r>
            <w:r>
              <w:rPr>
                <w:rFonts w:hint="eastAsia"/>
                <w:color w:val="auto"/>
                <w:sz w:val="24"/>
                <w:lang w:val="en-US" w:eastAsia="zh-CN"/>
              </w:rPr>
              <w:t>s</w:t>
            </w:r>
            <w:r>
              <w:rPr>
                <w:color w:val="auto"/>
                <w:sz w:val="24"/>
              </w:rPr>
              <w:t>）、苯类、无机物、硫化氢、氨气、硫醇类等主要污染物，在装置设计及安装中保证吸附箱中活性炭过滤面积及填充高度，在运行中严格落实活性炭定期更换</w:t>
            </w:r>
            <w:r>
              <w:rPr>
                <w:rFonts w:hint="eastAsia"/>
                <w:color w:val="auto"/>
                <w:sz w:val="24"/>
                <w:lang w:eastAsia="zh-CN"/>
              </w:rPr>
              <w:t>。</w:t>
            </w:r>
          </w:p>
          <w:p w14:paraId="7CB58C66">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color w:val="auto"/>
                <w:sz w:val="24"/>
              </w:rPr>
            </w:pPr>
            <w:r>
              <w:rPr>
                <w:color w:val="auto"/>
                <w:sz w:val="24"/>
              </w:rPr>
              <w:t>2.无需添加任何物质：只需要设置相应的排风管道和排风动力，使气体通过本设备进行分解净化，无需添加任何物质参与化学反应。</w:t>
            </w:r>
          </w:p>
          <w:p w14:paraId="37792A93">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color w:val="auto"/>
                <w:sz w:val="24"/>
              </w:rPr>
            </w:pPr>
            <w:r>
              <w:rPr>
                <w:color w:val="auto"/>
                <w:sz w:val="24"/>
              </w:rPr>
              <w:t>3.适应性强：可适应高浓度，大气量，不同气体物质的净化处理，可每天24小时连续工作，运行稳定可靠。</w:t>
            </w:r>
          </w:p>
          <w:p w14:paraId="6CC838F6">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color w:val="auto"/>
                <w:sz w:val="24"/>
              </w:rPr>
            </w:pPr>
            <w:r>
              <w:rPr>
                <w:color w:val="auto"/>
                <w:sz w:val="24"/>
              </w:rPr>
              <w:t>4.运行成本低：本设备无任何机械动作，无噪音，无需专人管理和日常维护，只需作定期检查，本设备能耗低，设备风阻极低＜50pa</w:t>
            </w:r>
            <w:r>
              <w:rPr>
                <w:rFonts w:hint="eastAsia"/>
                <w:color w:val="auto"/>
                <w:sz w:val="24"/>
              </w:rPr>
              <w:t>，</w:t>
            </w:r>
            <w:r>
              <w:rPr>
                <w:color w:val="auto"/>
                <w:sz w:val="24"/>
              </w:rPr>
              <w:t>可节约大量排风动力能耗。</w:t>
            </w:r>
          </w:p>
          <w:p w14:paraId="446B48D8">
            <w:pPr>
              <w:keepNext w:val="0"/>
              <w:keepLines w:val="0"/>
              <w:pageBreakBefore w:val="0"/>
              <w:kinsoku/>
              <w:wordWrap/>
              <w:overflowPunct/>
              <w:topLinePunct w:val="0"/>
              <w:autoSpaceDE w:val="0"/>
              <w:autoSpaceDN w:val="0"/>
              <w:bidi w:val="0"/>
              <w:adjustRightInd w:val="0"/>
              <w:snapToGrid w:val="0"/>
              <w:spacing w:line="360" w:lineRule="auto"/>
              <w:ind w:left="0" w:firstLine="480" w:firstLineChars="200"/>
              <w:jc w:val="left"/>
              <w:rPr>
                <w:color w:val="auto"/>
                <w:sz w:val="24"/>
              </w:rPr>
            </w:pPr>
            <w:r>
              <w:rPr>
                <w:color w:val="auto"/>
                <w:sz w:val="24"/>
              </w:rPr>
              <w:t>5.无需预处理：气体无需进行特殊的预处理，如加温、加湿等,设备工作环境温度在摄氏-30℃</w:t>
            </w:r>
            <w:r>
              <w:rPr>
                <w:rFonts w:hint="eastAsia"/>
                <w:color w:val="auto"/>
                <w:sz w:val="24"/>
                <w:lang w:val="en-US" w:eastAsia="zh-CN"/>
              </w:rPr>
              <w:t>~</w:t>
            </w:r>
            <w:r>
              <w:rPr>
                <w:color w:val="auto"/>
                <w:sz w:val="24"/>
              </w:rPr>
              <w:t>95℃之间，湿度在30%</w:t>
            </w:r>
            <w:r>
              <w:rPr>
                <w:rFonts w:hint="eastAsia"/>
                <w:color w:val="auto"/>
                <w:sz w:val="24"/>
                <w:lang w:val="en-US" w:eastAsia="zh-CN"/>
              </w:rPr>
              <w:t>~</w:t>
            </w:r>
            <w:r>
              <w:rPr>
                <w:color w:val="auto"/>
                <w:sz w:val="24"/>
              </w:rPr>
              <w:t>98%、</w:t>
            </w:r>
            <w:r>
              <w:rPr>
                <w:rFonts w:hint="eastAsia"/>
                <w:color w:val="auto"/>
                <w:sz w:val="24"/>
                <w:lang w:val="en-US" w:eastAsia="zh-CN"/>
              </w:rPr>
              <w:t>p</w:t>
            </w:r>
            <w:r>
              <w:rPr>
                <w:color w:val="auto"/>
                <w:sz w:val="24"/>
              </w:rPr>
              <w:t>H值在2-13之间均可正常工作。</w:t>
            </w:r>
          </w:p>
          <w:p w14:paraId="6CF5A87C">
            <w:pPr>
              <w:pStyle w:val="55"/>
              <w:keepNext w:val="0"/>
              <w:keepLines w:val="0"/>
              <w:pageBreakBefore w:val="0"/>
              <w:kinsoku/>
              <w:wordWrap/>
              <w:overflowPunct/>
              <w:topLinePunct w:val="0"/>
              <w:bidi w:val="0"/>
              <w:adjustRightInd w:val="0"/>
              <w:snapToGrid w:val="0"/>
              <w:spacing w:line="360" w:lineRule="auto"/>
              <w:ind w:left="0" w:firstLine="480" w:firstLineChars="200"/>
              <w:jc w:val="both"/>
              <w:textAlignment w:val="center"/>
              <w:rPr>
                <w:rFonts w:hint="default" w:ascii="Times New Roman" w:hAnsi="Times New Roman" w:eastAsia="宋体" w:cs="Times New Roman"/>
                <w:color w:val="auto"/>
                <w:sz w:val="24"/>
                <w:szCs w:val="24"/>
                <w:lang w:val="en-US" w:eastAsia="zh-CN"/>
              </w:rPr>
            </w:pPr>
            <w:r>
              <w:rPr>
                <w:color w:val="auto"/>
                <w:sz w:val="24"/>
              </w:rPr>
              <w:t>6.优质进口材料制造：防火、防爆、防腐蚀性能高，设备性能安全稳定，采用不锈钢材质，设备使用寿命在十五年以上</w:t>
            </w:r>
            <w:r>
              <w:rPr>
                <w:color w:val="auto"/>
                <w:sz w:val="24"/>
                <w:szCs w:val="24"/>
              </w:rPr>
              <w:t>。</w:t>
            </w:r>
          </w:p>
          <w:p w14:paraId="2BB85326">
            <w:pPr>
              <w:pStyle w:val="55"/>
              <w:keepNext w:val="0"/>
              <w:keepLines w:val="0"/>
              <w:pageBreakBefore w:val="0"/>
              <w:kinsoku/>
              <w:wordWrap/>
              <w:overflowPunct/>
              <w:topLinePunct w:val="0"/>
              <w:bidi w:val="0"/>
              <w:adjustRightInd w:val="0"/>
              <w:snapToGrid w:val="0"/>
              <w:spacing w:line="360" w:lineRule="auto"/>
              <w:ind w:left="0" w:firstLine="480" w:firstLineChars="200"/>
              <w:jc w:val="both"/>
              <w:textAlignment w:val="center"/>
              <w:rPr>
                <w:rFonts w:hint="eastAsia" w:eastAsia="宋体"/>
                <w:color w:val="auto"/>
                <w:sz w:val="24"/>
                <w:szCs w:val="24"/>
              </w:rPr>
            </w:pPr>
            <w:r>
              <w:rPr>
                <w:rFonts w:hint="eastAsia" w:eastAsia="宋体"/>
                <w:color w:val="auto"/>
                <w:sz w:val="24"/>
                <w:szCs w:val="24"/>
                <w:lang w:eastAsia="zh-CN"/>
              </w:rPr>
              <w:t>（</w:t>
            </w:r>
            <w:r>
              <w:rPr>
                <w:rFonts w:hint="eastAsia"/>
                <w:color w:val="auto"/>
                <w:sz w:val="24"/>
                <w:szCs w:val="24"/>
                <w:lang w:val="en-US" w:eastAsia="zh-CN"/>
              </w:rPr>
              <w:t>6</w:t>
            </w:r>
            <w:r>
              <w:rPr>
                <w:rFonts w:hint="eastAsia" w:eastAsia="宋体"/>
                <w:color w:val="auto"/>
                <w:sz w:val="24"/>
                <w:szCs w:val="24"/>
              </w:rPr>
              <w:t>）废气达标排放可行性分析</w:t>
            </w:r>
          </w:p>
          <w:p w14:paraId="2CAE33EA">
            <w:pPr>
              <w:pStyle w:val="55"/>
              <w:keepNext w:val="0"/>
              <w:keepLines w:val="0"/>
              <w:pageBreakBefore w:val="0"/>
              <w:kinsoku/>
              <w:wordWrap/>
              <w:overflowPunct/>
              <w:topLinePunct w:val="0"/>
              <w:bidi w:val="0"/>
              <w:adjustRightInd w:val="0"/>
              <w:snapToGrid w:val="0"/>
              <w:spacing w:line="360" w:lineRule="auto"/>
              <w:ind w:left="0" w:firstLine="480" w:firstLineChars="200"/>
              <w:jc w:val="both"/>
              <w:textAlignment w:val="center"/>
              <w:rPr>
                <w:rFonts w:hint="eastAsia" w:eastAsia="宋体"/>
                <w:color w:val="auto"/>
                <w:sz w:val="24"/>
                <w:szCs w:val="24"/>
                <w:lang w:eastAsia="zh-CN"/>
              </w:rPr>
            </w:pPr>
            <w:r>
              <w:rPr>
                <w:rFonts w:hint="eastAsia" w:ascii="宋体" w:hAnsi="宋体" w:eastAsia="宋体" w:cs="宋体"/>
                <w:color w:val="auto"/>
                <w:sz w:val="24"/>
                <w:szCs w:val="24"/>
              </w:rPr>
              <w:t>①</w:t>
            </w:r>
            <w:r>
              <w:rPr>
                <w:rFonts w:hint="eastAsia"/>
                <w:color w:val="auto"/>
                <w:sz w:val="24"/>
                <w:szCs w:val="24"/>
                <w:lang w:eastAsia="zh-CN"/>
              </w:rPr>
              <w:t>有组织废气</w:t>
            </w:r>
          </w:p>
          <w:p w14:paraId="29BCD6E8">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val="en-US" w:eastAsia="zh-CN"/>
              </w:rPr>
            </w:pPr>
            <w:r>
              <w:rPr>
                <w:rFonts w:ascii="Times New Roman" w:hAnsi="Times New Roman" w:eastAsia="宋体" w:cs="Times New Roman"/>
                <w:color w:val="auto"/>
                <w:sz w:val="24"/>
                <w:highlight w:val="none"/>
                <w:lang w:val="en-US" w:eastAsia="zh-CN" w:bidi="ar-SA"/>
              </w:rPr>
              <w:t>根据上文分析，项目</w:t>
            </w:r>
            <w:r>
              <w:rPr>
                <w:rFonts w:hint="eastAsia" w:ascii="Times New Roman" w:hAnsi="Times New Roman" w:eastAsia="宋体" w:cs="Times New Roman"/>
                <w:color w:val="auto"/>
                <w:sz w:val="24"/>
                <w:highlight w:val="none"/>
                <w:lang w:val="en-US" w:eastAsia="zh-CN" w:bidi="ar-SA"/>
              </w:rPr>
              <w:t>调胶、涂胶、封胶过程中产生的有机废气，通过设置集气罩收集，经二级活性炭吸附装置吸附处理后引至厂房屋顶由15m高排气筒排放，高出周边建筑物3m以上，</w:t>
            </w:r>
            <w:r>
              <w:rPr>
                <w:rFonts w:eastAsia="宋体"/>
                <w:color w:val="auto"/>
                <w:sz w:val="24"/>
                <w:highlight w:val="none"/>
              </w:rPr>
              <w:t>经处理后排气筒</w:t>
            </w:r>
            <w:r>
              <w:rPr>
                <w:rFonts w:hint="eastAsia" w:eastAsia="宋体"/>
                <w:color w:val="auto"/>
                <w:sz w:val="24"/>
                <w:highlight w:val="none"/>
              </w:rPr>
              <w:t>DA00</w:t>
            </w:r>
            <w:r>
              <w:rPr>
                <w:rFonts w:eastAsia="宋体"/>
                <w:color w:val="auto"/>
                <w:sz w:val="24"/>
                <w:highlight w:val="none"/>
              </w:rPr>
              <w:t>1</w:t>
            </w:r>
            <w:r>
              <w:rPr>
                <w:rFonts w:hint="eastAsia" w:eastAsia="宋体"/>
                <w:color w:val="auto"/>
                <w:sz w:val="24"/>
                <w:highlight w:val="none"/>
                <w:lang w:val="en-US" w:eastAsia="zh-CN"/>
              </w:rPr>
              <w:t>中</w:t>
            </w:r>
            <w:r>
              <w:rPr>
                <w:rFonts w:eastAsia="宋体"/>
                <w:color w:val="auto"/>
                <w:sz w:val="24"/>
                <w:highlight w:val="none"/>
              </w:rPr>
              <w:t>污染物排放浓度</w:t>
            </w:r>
            <w:r>
              <w:rPr>
                <w:rFonts w:hint="eastAsia" w:eastAsia="宋体"/>
                <w:color w:val="auto"/>
                <w:sz w:val="24"/>
                <w:highlight w:val="none"/>
                <w:lang w:val="en-US" w:eastAsia="zh-CN"/>
              </w:rPr>
              <w:t>非甲烷总烃</w:t>
            </w:r>
            <w:r>
              <w:rPr>
                <w:rFonts w:hint="eastAsia"/>
                <w:color w:val="auto"/>
                <w:sz w:val="24"/>
                <w:highlight w:val="none"/>
                <w:lang w:val="en-US" w:eastAsia="zh-CN"/>
              </w:rPr>
              <w:t>9.51</w:t>
            </w:r>
            <w:r>
              <w:rPr>
                <w:rFonts w:eastAsia="宋体"/>
                <w:color w:val="auto"/>
                <w:sz w:val="24"/>
                <w:highlight w:val="none"/>
              </w:rPr>
              <w:t>mg/m</w:t>
            </w:r>
            <w:r>
              <w:rPr>
                <w:rFonts w:eastAsia="宋体"/>
                <w:color w:val="auto"/>
                <w:sz w:val="24"/>
                <w:highlight w:val="none"/>
                <w:vertAlign w:val="superscript"/>
              </w:rPr>
              <w:t>3</w:t>
            </w:r>
            <w:r>
              <w:rPr>
                <w:rFonts w:eastAsia="宋体"/>
                <w:color w:val="auto"/>
                <w:sz w:val="24"/>
                <w:highlight w:val="none"/>
              </w:rPr>
              <w:t>，</w:t>
            </w:r>
            <w:r>
              <w:rPr>
                <w:rFonts w:hint="eastAsia" w:eastAsia="宋体"/>
                <w:color w:val="auto"/>
                <w:sz w:val="24"/>
                <w:highlight w:val="none"/>
                <w:lang w:val="en-US" w:eastAsia="zh-CN"/>
              </w:rPr>
              <w:t>能够满</w:t>
            </w:r>
            <w:r>
              <w:rPr>
                <w:rFonts w:hint="eastAsia" w:eastAsia="宋体"/>
                <w:color w:val="auto"/>
                <w:sz w:val="24"/>
                <w:lang w:val="en-US" w:eastAsia="zh-CN"/>
              </w:rPr>
              <w:t>足《玻璃工业大气污染物排放标准》（GB26453-2022）表1</w:t>
            </w:r>
            <w:r>
              <w:rPr>
                <w:rFonts w:hint="eastAsia"/>
                <w:color w:val="auto"/>
                <w:sz w:val="24"/>
                <w:lang w:val="en-US" w:eastAsia="zh-CN"/>
              </w:rPr>
              <w:t>限值要求。</w:t>
            </w:r>
          </w:p>
          <w:p w14:paraId="1CFF8AFE">
            <w:pPr>
              <w:pStyle w:val="55"/>
              <w:keepNext w:val="0"/>
              <w:keepLines w:val="0"/>
              <w:pageBreakBefore w:val="0"/>
              <w:kinsoku/>
              <w:wordWrap/>
              <w:overflowPunct/>
              <w:topLinePunct w:val="0"/>
              <w:bidi w:val="0"/>
              <w:adjustRightInd w:val="0"/>
              <w:snapToGrid w:val="0"/>
              <w:spacing w:line="360" w:lineRule="auto"/>
              <w:ind w:firstLine="480" w:firstLineChars="200"/>
              <w:jc w:val="both"/>
              <w:textAlignment w:val="center"/>
              <w:rPr>
                <w:rFonts w:hint="eastAsia"/>
                <w:color w:val="auto"/>
                <w:sz w:val="24"/>
                <w:lang w:val="en-US" w:eastAsia="zh-CN"/>
              </w:rPr>
            </w:pPr>
            <w:r>
              <w:rPr>
                <w:rFonts w:hint="eastAsia" w:ascii="宋体" w:hAnsi="宋体" w:eastAsia="宋体" w:cs="宋体"/>
                <w:color w:val="auto"/>
                <w:sz w:val="24"/>
                <w:szCs w:val="24"/>
                <w:lang w:val="en-US" w:eastAsia="zh-CN"/>
              </w:rPr>
              <w:t>②</w:t>
            </w:r>
            <w:r>
              <w:rPr>
                <w:rFonts w:hint="eastAsia"/>
                <w:color w:val="auto"/>
                <w:sz w:val="24"/>
                <w:lang w:val="en-US" w:eastAsia="zh-CN"/>
              </w:rPr>
              <w:t>无组织废气</w:t>
            </w:r>
          </w:p>
          <w:p w14:paraId="2D57354E">
            <w:pPr>
              <w:pStyle w:val="55"/>
              <w:keepNext w:val="0"/>
              <w:keepLines w:val="0"/>
              <w:pageBreakBefore w:val="0"/>
              <w:kinsoku/>
              <w:wordWrap/>
              <w:overflowPunct/>
              <w:topLinePunct w:val="0"/>
              <w:bidi w:val="0"/>
              <w:adjustRightInd w:val="0"/>
              <w:snapToGrid w:val="0"/>
              <w:spacing w:line="360" w:lineRule="auto"/>
              <w:ind w:firstLine="426" w:firstLineChars="200"/>
              <w:jc w:val="center"/>
              <w:textAlignment w:val="center"/>
              <w:rPr>
                <w:rFonts w:hint="eastAsia"/>
                <w:color w:val="auto"/>
                <w:sz w:val="24"/>
                <w:lang w:val="en-US" w:eastAsia="zh-CN"/>
              </w:rPr>
            </w:pPr>
            <w:r>
              <w:rPr>
                <w:b/>
                <w:bCs/>
                <w:spacing w:val="6"/>
              </w:rPr>
              <w:t>表</w:t>
            </w:r>
            <w:r>
              <w:rPr>
                <w:spacing w:val="-32"/>
              </w:rPr>
              <w:t xml:space="preserve"> </w:t>
            </w:r>
            <w:r>
              <w:rPr>
                <w:rFonts w:ascii="Times New Roman" w:hAnsi="Times New Roman" w:eastAsia="Times New Roman" w:cs="Times New Roman"/>
                <w:b/>
                <w:bCs/>
                <w:spacing w:val="6"/>
              </w:rPr>
              <w:t>4-</w:t>
            </w:r>
            <w:r>
              <w:rPr>
                <w:rFonts w:hint="eastAsia" w:ascii="Times New Roman" w:hAnsi="Times New Roman" w:eastAsia="宋体" w:cs="Times New Roman"/>
                <w:b/>
                <w:bCs/>
                <w:spacing w:val="6"/>
                <w:lang w:val="en-US" w:eastAsia="zh-CN"/>
              </w:rPr>
              <w:t>4</w:t>
            </w:r>
            <w:r>
              <w:rPr>
                <w:rFonts w:ascii="Times New Roman" w:hAnsi="Times New Roman" w:eastAsia="Times New Roman" w:cs="Times New Roman"/>
                <w:b/>
                <w:bCs/>
                <w:spacing w:val="6"/>
              </w:rPr>
              <w:t xml:space="preserve"> </w:t>
            </w:r>
            <w:r>
              <w:rPr>
                <w:b/>
                <w:bCs/>
                <w:spacing w:val="6"/>
              </w:rPr>
              <w:t>无组织废气排放基本情况表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2"/>
              <w:gridCol w:w="941"/>
              <w:gridCol w:w="805"/>
              <w:gridCol w:w="559"/>
              <w:gridCol w:w="532"/>
              <w:gridCol w:w="805"/>
              <w:gridCol w:w="873"/>
              <w:gridCol w:w="900"/>
              <w:gridCol w:w="775"/>
              <w:gridCol w:w="939"/>
              <w:gridCol w:w="414"/>
            </w:tblGrid>
            <w:tr w14:paraId="74A2C5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vMerge w:val="restart"/>
                  <w:tcBorders>
                    <w:tl2br w:val="nil"/>
                    <w:tr2bl w:val="nil"/>
                  </w:tcBorders>
                  <w:vAlign w:val="center"/>
                </w:tcPr>
                <w:p w14:paraId="4A32EE2D">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color w:val="auto"/>
                      <w:sz w:val="21"/>
                      <w:szCs w:val="21"/>
                      <w:vertAlign w:val="baseline"/>
                      <w:lang w:val="en-US" w:eastAsia="zh-CN"/>
                    </w:rPr>
                    <w:t>污染源名称</w:t>
                  </w:r>
                </w:p>
              </w:tc>
              <w:tc>
                <w:tcPr>
                  <w:tcW w:w="1034" w:type="pct"/>
                  <w:gridSpan w:val="2"/>
                  <w:tcBorders>
                    <w:tl2br w:val="nil"/>
                    <w:tr2bl w:val="nil"/>
                  </w:tcBorders>
                  <w:vAlign w:val="center"/>
                </w:tcPr>
                <w:p w14:paraId="52F0C174">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color w:val="auto"/>
                      <w:sz w:val="21"/>
                      <w:szCs w:val="21"/>
                      <w:vertAlign w:val="baseline"/>
                      <w:lang w:val="en-US" w:eastAsia="zh-CN"/>
                    </w:rPr>
                    <w:t>左下角坐标</w:t>
                  </w:r>
                  <w:r>
                    <w:rPr>
                      <w:spacing w:val="20"/>
                      <w:sz w:val="21"/>
                      <w:szCs w:val="21"/>
                    </w:rPr>
                    <w:t xml:space="preserve"> </w:t>
                  </w:r>
                  <w:r>
                    <w:rPr>
                      <w:spacing w:val="4"/>
                      <w:sz w:val="21"/>
                      <w:szCs w:val="21"/>
                    </w:rPr>
                    <w:t>(</w:t>
                  </w:r>
                  <w:r>
                    <w:rPr>
                      <w:rFonts w:ascii="Times New Roman" w:hAnsi="Times New Roman" w:eastAsia="Times New Roman" w:cs="Times New Roman"/>
                      <w:spacing w:val="4"/>
                      <w:sz w:val="21"/>
                      <w:szCs w:val="21"/>
                    </w:rPr>
                    <w:t>°</w:t>
                  </w:r>
                  <w:r>
                    <w:rPr>
                      <w:spacing w:val="4"/>
                      <w:sz w:val="21"/>
                      <w:szCs w:val="21"/>
                    </w:rPr>
                    <w:t>)</w:t>
                  </w:r>
                </w:p>
              </w:tc>
              <w:tc>
                <w:tcPr>
                  <w:tcW w:w="1123" w:type="pct"/>
                  <w:gridSpan w:val="3"/>
                  <w:tcBorders>
                    <w:tl2br w:val="nil"/>
                    <w:tr2bl w:val="nil"/>
                  </w:tcBorders>
                  <w:vAlign w:val="center"/>
                </w:tcPr>
                <w:p w14:paraId="7E408ED2">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eastAsia="宋体"/>
                      <w:color w:val="auto"/>
                      <w:sz w:val="21"/>
                      <w:szCs w:val="21"/>
                      <w:vertAlign w:val="baseline"/>
                      <w:lang w:val="en-US" w:eastAsia="zh-CN"/>
                    </w:rPr>
                  </w:pPr>
                  <w:r>
                    <w:rPr>
                      <w:spacing w:val="7"/>
                      <w:sz w:val="21"/>
                      <w:szCs w:val="21"/>
                    </w:rPr>
                    <w:t>矩形面源</w:t>
                  </w:r>
                  <w:r>
                    <w:rPr>
                      <w:rFonts w:hint="eastAsia"/>
                      <w:spacing w:val="7"/>
                      <w:sz w:val="21"/>
                      <w:szCs w:val="21"/>
                      <w:lang w:eastAsia="zh-CN"/>
                    </w:rPr>
                    <w:t>（</w:t>
                  </w:r>
                  <w:r>
                    <w:rPr>
                      <w:rFonts w:hint="eastAsia"/>
                      <w:spacing w:val="7"/>
                      <w:sz w:val="21"/>
                      <w:szCs w:val="21"/>
                      <w:lang w:val="en-US" w:eastAsia="zh-CN"/>
                    </w:rPr>
                    <w:t>m</w:t>
                  </w:r>
                  <w:r>
                    <w:rPr>
                      <w:rFonts w:hint="eastAsia"/>
                      <w:spacing w:val="7"/>
                      <w:sz w:val="21"/>
                      <w:szCs w:val="21"/>
                      <w:lang w:eastAsia="zh-CN"/>
                    </w:rPr>
                    <w:t>）</w:t>
                  </w:r>
                </w:p>
              </w:tc>
              <w:tc>
                <w:tcPr>
                  <w:tcW w:w="517" w:type="pct"/>
                  <w:vMerge w:val="restart"/>
                  <w:tcBorders>
                    <w:tl2br w:val="nil"/>
                    <w:tr2bl w:val="nil"/>
                  </w:tcBorders>
                  <w:vAlign w:val="center"/>
                </w:tcPr>
                <w:p w14:paraId="3A1A67D7">
                  <w:pPr>
                    <w:pStyle w:val="81"/>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color w:val="auto"/>
                      <w:sz w:val="21"/>
                      <w:szCs w:val="21"/>
                      <w:vertAlign w:val="baseline"/>
                      <w:lang w:val="en-US" w:eastAsia="zh-CN"/>
                    </w:rPr>
                  </w:pPr>
                  <w:r>
                    <w:rPr>
                      <w:spacing w:val="3"/>
                      <w:sz w:val="21"/>
                      <w:szCs w:val="21"/>
                    </w:rPr>
                    <w:t>污染</w:t>
                  </w:r>
                  <w:r>
                    <w:rPr>
                      <w:sz w:val="21"/>
                      <w:szCs w:val="21"/>
                    </w:rPr>
                    <w:t>物</w:t>
                  </w:r>
                </w:p>
              </w:tc>
              <w:tc>
                <w:tcPr>
                  <w:tcW w:w="533" w:type="pct"/>
                  <w:vMerge w:val="restart"/>
                  <w:tcBorders>
                    <w:tl2br w:val="nil"/>
                    <w:tr2bl w:val="nil"/>
                  </w:tcBorders>
                  <w:vAlign w:val="center"/>
                </w:tcPr>
                <w:p w14:paraId="2DDEFF05">
                  <w:pPr>
                    <w:pStyle w:val="81"/>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Times New Roman" w:hAnsi="Times New Roman"/>
                      <w:color w:val="auto"/>
                      <w:sz w:val="21"/>
                      <w:szCs w:val="21"/>
                      <w:vertAlign w:val="baseline"/>
                      <w:lang w:val="en-US" w:eastAsia="zh-CN"/>
                    </w:rPr>
                  </w:pPr>
                  <w:r>
                    <w:rPr>
                      <w:spacing w:val="4"/>
                      <w:sz w:val="21"/>
                      <w:szCs w:val="21"/>
                    </w:rPr>
                    <w:t>排放</w:t>
                  </w:r>
                  <w:r>
                    <w:rPr>
                      <w:spacing w:val="6"/>
                      <w:sz w:val="21"/>
                      <w:szCs w:val="21"/>
                    </w:rPr>
                    <w:t>量</w:t>
                  </w:r>
                  <w:r>
                    <w:rPr>
                      <w:rFonts w:ascii="Times New Roman" w:hAnsi="Times New Roman" w:eastAsia="Times New Roman" w:cs="Times New Roman"/>
                      <w:spacing w:val="1"/>
                      <w:sz w:val="21"/>
                      <w:szCs w:val="21"/>
                    </w:rPr>
                    <w:t>t/a</w:t>
                  </w:r>
                </w:p>
              </w:tc>
              <w:tc>
                <w:tcPr>
                  <w:tcW w:w="459" w:type="pct"/>
                  <w:vMerge w:val="restart"/>
                  <w:tcBorders>
                    <w:tl2br w:val="nil"/>
                    <w:tr2bl w:val="nil"/>
                  </w:tcBorders>
                  <w:vAlign w:val="center"/>
                </w:tcPr>
                <w:p w14:paraId="53C0CCEF">
                  <w:pPr>
                    <w:pStyle w:val="81"/>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center"/>
                    <w:rPr>
                      <w:rFonts w:hint="eastAsia" w:ascii="Times New Roman" w:hAnsi="Times New Roman"/>
                      <w:color w:val="auto"/>
                      <w:sz w:val="21"/>
                      <w:szCs w:val="21"/>
                      <w:vertAlign w:val="baseline"/>
                      <w:lang w:val="en-US" w:eastAsia="zh-CN"/>
                    </w:rPr>
                  </w:pPr>
                  <w:r>
                    <w:rPr>
                      <w:spacing w:val="4"/>
                      <w:sz w:val="21"/>
                      <w:szCs w:val="21"/>
                    </w:rPr>
                    <w:t>排放</w:t>
                  </w:r>
                  <w:r>
                    <w:rPr>
                      <w:sz w:val="21"/>
                      <w:szCs w:val="21"/>
                    </w:rPr>
                    <w:t xml:space="preserve"> </w:t>
                  </w:r>
                  <w:r>
                    <w:rPr>
                      <w:spacing w:val="6"/>
                      <w:sz w:val="21"/>
                      <w:szCs w:val="21"/>
                    </w:rPr>
                    <w:t>速率</w:t>
                  </w:r>
                  <w:r>
                    <w:rPr>
                      <w:sz w:val="21"/>
                      <w:szCs w:val="21"/>
                    </w:rPr>
                    <w:t xml:space="preserve"> </w:t>
                  </w:r>
                  <w:r>
                    <w:rPr>
                      <w:rFonts w:ascii="Times New Roman" w:hAnsi="Times New Roman" w:eastAsia="Times New Roman" w:cs="Times New Roman"/>
                      <w:sz w:val="21"/>
                      <w:szCs w:val="21"/>
                    </w:rPr>
                    <w:t>kg</w:t>
                  </w:r>
                  <w:r>
                    <w:rPr>
                      <w:rFonts w:ascii="Times New Roman" w:hAnsi="Times New Roman" w:eastAsia="Times New Roman" w:cs="Times New Roman"/>
                      <w:spacing w:val="15"/>
                      <w:sz w:val="21"/>
                      <w:szCs w:val="21"/>
                    </w:rPr>
                    <w:t>/h</w:t>
                  </w:r>
                </w:p>
              </w:tc>
              <w:tc>
                <w:tcPr>
                  <w:tcW w:w="556" w:type="pct"/>
                  <w:vMerge w:val="restart"/>
                  <w:tcBorders>
                    <w:tl2br w:val="nil"/>
                    <w:tr2bl w:val="nil"/>
                  </w:tcBorders>
                  <w:vAlign w:val="center"/>
                </w:tcPr>
                <w:p w14:paraId="779CABB7">
                  <w:pPr>
                    <w:pStyle w:val="81"/>
                    <w:keepNext w:val="0"/>
                    <w:keepLines w:val="0"/>
                    <w:pageBreakBefore w:val="0"/>
                    <w:kinsoku/>
                    <w:wordWrap/>
                    <w:overflowPunct/>
                    <w:topLinePunct w:val="0"/>
                    <w:autoSpaceDE/>
                    <w:autoSpaceDN/>
                    <w:bidi w:val="0"/>
                    <w:adjustRightInd w:val="0"/>
                    <w:snapToGrid w:val="0"/>
                    <w:spacing w:line="240" w:lineRule="auto"/>
                    <w:ind w:left="0" w:leftChars="0" w:right="0" w:rightChars="0" w:firstLine="0"/>
                    <w:jc w:val="center"/>
                    <w:rPr>
                      <w:rFonts w:hint="eastAsia" w:ascii="Times New Roman" w:hAnsi="Times New Roman" w:eastAsia="宋体"/>
                      <w:color w:val="auto"/>
                      <w:sz w:val="21"/>
                      <w:szCs w:val="21"/>
                      <w:vertAlign w:val="baseline"/>
                      <w:lang w:val="en-US" w:eastAsia="zh-CN"/>
                    </w:rPr>
                  </w:pPr>
                  <w:r>
                    <w:rPr>
                      <w:spacing w:val="6"/>
                      <w:sz w:val="21"/>
                      <w:szCs w:val="21"/>
                    </w:rPr>
                    <w:t>最大落地浓度</w:t>
                  </w:r>
                  <w:r>
                    <w:rPr>
                      <w:rFonts w:ascii="Times New Roman" w:hAnsi="Times New Roman" w:eastAsia="Times New Roman" w:cs="Times New Roman"/>
                      <w:sz w:val="21"/>
                      <w:szCs w:val="21"/>
                    </w:rPr>
                    <w:t>mg</w:t>
                  </w:r>
                  <w:r>
                    <w:rPr>
                      <w:rFonts w:ascii="Times New Roman" w:hAnsi="Times New Roman" w:eastAsia="Times New Roman" w:cs="Times New Roman"/>
                      <w:spacing w:val="17"/>
                      <w:sz w:val="21"/>
                      <w:szCs w:val="21"/>
                    </w:rPr>
                    <w:t>/m</w:t>
                  </w:r>
                  <w:r>
                    <w:rPr>
                      <w:rFonts w:hint="eastAsia" w:ascii="Times New Roman" w:hAnsi="Times New Roman" w:eastAsia="宋体" w:cs="Times New Roman"/>
                      <w:spacing w:val="17"/>
                      <w:sz w:val="21"/>
                      <w:szCs w:val="21"/>
                      <w:vertAlign w:val="superscript"/>
                      <w:lang w:val="en-US" w:eastAsia="zh-CN"/>
                    </w:rPr>
                    <w:t>3</w:t>
                  </w:r>
                </w:p>
              </w:tc>
              <w:tc>
                <w:tcPr>
                  <w:tcW w:w="245" w:type="pct"/>
                  <w:vMerge w:val="restart"/>
                  <w:tcBorders>
                    <w:tl2br w:val="nil"/>
                    <w:tr2bl w:val="nil"/>
                  </w:tcBorders>
                  <w:vAlign w:val="center"/>
                </w:tcPr>
                <w:p w14:paraId="1E677E12">
                  <w:pPr>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rPr>
                      <w:rFonts w:hint="eastAsia" w:ascii="Times New Roman" w:hAnsi="Times New Roman" w:eastAsia="宋体" w:cs="Times New Roman"/>
                      <w:position w:val="3"/>
                      <w:sz w:val="21"/>
                      <w:szCs w:val="21"/>
                      <w:lang w:eastAsia="zh-CN"/>
                    </w:rPr>
                  </w:pPr>
                  <w:r>
                    <w:rPr>
                      <w:rFonts w:hint="eastAsia" w:eastAsia="宋体" w:cs="Times New Roman"/>
                      <w:position w:val="3"/>
                      <w:sz w:val="21"/>
                      <w:szCs w:val="21"/>
                      <w:lang w:eastAsia="zh-CN"/>
                    </w:rPr>
                    <w:t>是否达标</w:t>
                  </w:r>
                </w:p>
              </w:tc>
            </w:tr>
            <w:tr w14:paraId="06A7C8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14:paraId="4FD3F8F4">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c>
                <w:tcPr>
                  <w:tcW w:w="557" w:type="pct"/>
                  <w:tcBorders>
                    <w:tl2br w:val="nil"/>
                    <w:tr2bl w:val="nil"/>
                  </w:tcBorders>
                  <w:vAlign w:val="center"/>
                </w:tcPr>
                <w:p w14:paraId="397E66D8">
                  <w:pPr>
                    <w:pStyle w:val="81"/>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rPr>
                      <w:rFonts w:hint="eastAsia" w:ascii="Times New Roman" w:hAnsi="Times New Roman"/>
                      <w:color w:val="auto"/>
                      <w:sz w:val="21"/>
                      <w:szCs w:val="21"/>
                      <w:vertAlign w:val="baseline"/>
                      <w:lang w:val="en-US" w:eastAsia="zh-CN"/>
                    </w:rPr>
                  </w:pPr>
                  <w:r>
                    <w:rPr>
                      <w:spacing w:val="3"/>
                      <w:sz w:val="21"/>
                      <w:szCs w:val="21"/>
                    </w:rPr>
                    <w:t>经度</w:t>
                  </w:r>
                </w:p>
              </w:tc>
              <w:tc>
                <w:tcPr>
                  <w:tcW w:w="477" w:type="pct"/>
                  <w:tcBorders>
                    <w:tl2br w:val="nil"/>
                    <w:tr2bl w:val="nil"/>
                  </w:tcBorders>
                  <w:vAlign w:val="center"/>
                </w:tcPr>
                <w:p w14:paraId="5F831FCC">
                  <w:pPr>
                    <w:pStyle w:val="81"/>
                    <w:keepNext w:val="0"/>
                    <w:keepLines w:val="0"/>
                    <w:pageBreakBefore w:val="0"/>
                    <w:kinsoku/>
                    <w:wordWrap/>
                    <w:overflowPunct/>
                    <w:topLinePunct w:val="0"/>
                    <w:autoSpaceDE/>
                    <w:autoSpaceDN/>
                    <w:bidi w:val="0"/>
                    <w:adjustRightInd w:val="0"/>
                    <w:snapToGrid w:val="0"/>
                    <w:spacing w:line="240" w:lineRule="auto"/>
                    <w:ind w:left="0" w:leftChars="0" w:right="0" w:firstLine="0"/>
                    <w:jc w:val="center"/>
                    <w:rPr>
                      <w:rFonts w:hint="eastAsia" w:ascii="Times New Roman" w:hAnsi="Times New Roman" w:eastAsia="宋体"/>
                      <w:color w:val="auto"/>
                      <w:sz w:val="21"/>
                      <w:szCs w:val="21"/>
                      <w:vertAlign w:val="baseline"/>
                      <w:lang w:val="en-US" w:eastAsia="zh-CN"/>
                    </w:rPr>
                  </w:pPr>
                  <w:r>
                    <w:rPr>
                      <w:rFonts w:hint="eastAsia"/>
                      <w:spacing w:val="3"/>
                      <w:sz w:val="21"/>
                      <w:szCs w:val="21"/>
                      <w:lang w:eastAsia="zh-CN"/>
                    </w:rPr>
                    <w:t>纬度</w:t>
                  </w:r>
                </w:p>
              </w:tc>
              <w:tc>
                <w:tcPr>
                  <w:tcW w:w="331" w:type="pct"/>
                  <w:tcBorders>
                    <w:tl2br w:val="nil"/>
                    <w:tr2bl w:val="nil"/>
                  </w:tcBorders>
                  <w:vAlign w:val="center"/>
                </w:tcPr>
                <w:p w14:paraId="2A637C18">
                  <w:pPr>
                    <w:pStyle w:val="81"/>
                    <w:keepNext w:val="0"/>
                    <w:keepLines w:val="0"/>
                    <w:pageBreakBefore w:val="0"/>
                    <w:kinsoku/>
                    <w:wordWrap/>
                    <w:overflowPunct/>
                    <w:topLinePunct w:val="0"/>
                    <w:autoSpaceDE/>
                    <w:autoSpaceDN/>
                    <w:bidi w:val="0"/>
                    <w:adjustRightInd w:val="0"/>
                    <w:snapToGrid w:val="0"/>
                    <w:spacing w:line="240" w:lineRule="auto"/>
                    <w:ind w:left="0" w:right="0" w:firstLine="0"/>
                    <w:jc w:val="center"/>
                    <w:rPr>
                      <w:rFonts w:hint="eastAsia" w:ascii="Times New Roman" w:hAnsi="Times New Roman"/>
                      <w:color w:val="auto"/>
                      <w:sz w:val="21"/>
                      <w:szCs w:val="21"/>
                      <w:vertAlign w:val="baseline"/>
                      <w:lang w:val="en-US" w:eastAsia="zh-CN"/>
                    </w:rPr>
                  </w:pPr>
                  <w:r>
                    <w:rPr>
                      <w:spacing w:val="4"/>
                      <w:sz w:val="21"/>
                      <w:szCs w:val="21"/>
                    </w:rPr>
                    <w:t>长度</w:t>
                  </w:r>
                </w:p>
              </w:tc>
              <w:tc>
                <w:tcPr>
                  <w:tcW w:w="315" w:type="pct"/>
                  <w:tcBorders>
                    <w:tl2br w:val="nil"/>
                    <w:tr2bl w:val="nil"/>
                  </w:tcBorders>
                  <w:vAlign w:val="center"/>
                </w:tcPr>
                <w:p w14:paraId="4BBDF288">
                  <w:pPr>
                    <w:pStyle w:val="81"/>
                    <w:keepNext w:val="0"/>
                    <w:keepLines w:val="0"/>
                    <w:pageBreakBefore w:val="0"/>
                    <w:kinsoku/>
                    <w:wordWrap/>
                    <w:overflowPunct/>
                    <w:topLinePunct w:val="0"/>
                    <w:autoSpaceDE/>
                    <w:autoSpaceDN/>
                    <w:bidi w:val="0"/>
                    <w:adjustRightInd w:val="0"/>
                    <w:snapToGrid w:val="0"/>
                    <w:spacing w:line="240" w:lineRule="auto"/>
                    <w:ind w:left="0" w:right="0" w:firstLine="0"/>
                    <w:jc w:val="center"/>
                    <w:rPr>
                      <w:rFonts w:hint="eastAsia" w:ascii="Times New Roman" w:hAnsi="Times New Roman"/>
                      <w:color w:val="auto"/>
                      <w:sz w:val="21"/>
                      <w:szCs w:val="21"/>
                      <w:vertAlign w:val="baseline"/>
                      <w:lang w:val="en-US" w:eastAsia="zh-CN"/>
                    </w:rPr>
                  </w:pPr>
                  <w:r>
                    <w:rPr>
                      <w:spacing w:val="1"/>
                      <w:sz w:val="21"/>
                      <w:szCs w:val="21"/>
                    </w:rPr>
                    <w:t>宽度</w:t>
                  </w:r>
                </w:p>
              </w:tc>
              <w:tc>
                <w:tcPr>
                  <w:tcW w:w="476" w:type="pct"/>
                  <w:tcBorders>
                    <w:tl2br w:val="nil"/>
                    <w:tr2bl w:val="nil"/>
                  </w:tcBorders>
                  <w:vAlign w:val="center"/>
                </w:tcPr>
                <w:p w14:paraId="629F4DDD">
                  <w:pPr>
                    <w:pStyle w:val="81"/>
                    <w:keepNext w:val="0"/>
                    <w:keepLines w:val="0"/>
                    <w:pageBreakBefore w:val="0"/>
                    <w:kinsoku/>
                    <w:wordWrap/>
                    <w:overflowPunct/>
                    <w:topLinePunct w:val="0"/>
                    <w:autoSpaceDE/>
                    <w:autoSpaceDN/>
                    <w:bidi w:val="0"/>
                    <w:adjustRightInd w:val="0"/>
                    <w:snapToGrid w:val="0"/>
                    <w:spacing w:line="240" w:lineRule="auto"/>
                    <w:ind w:left="0" w:right="0" w:firstLine="0"/>
                    <w:jc w:val="center"/>
                    <w:rPr>
                      <w:sz w:val="21"/>
                      <w:szCs w:val="21"/>
                    </w:rPr>
                  </w:pPr>
                  <w:r>
                    <w:rPr>
                      <w:spacing w:val="4"/>
                      <w:sz w:val="21"/>
                      <w:szCs w:val="21"/>
                    </w:rPr>
                    <w:t>有效</w:t>
                  </w:r>
                </w:p>
                <w:p w14:paraId="6EC40604">
                  <w:pPr>
                    <w:pStyle w:val="81"/>
                    <w:keepNext w:val="0"/>
                    <w:keepLines w:val="0"/>
                    <w:pageBreakBefore w:val="0"/>
                    <w:kinsoku/>
                    <w:wordWrap/>
                    <w:overflowPunct/>
                    <w:topLinePunct w:val="0"/>
                    <w:autoSpaceDE/>
                    <w:autoSpaceDN/>
                    <w:bidi w:val="0"/>
                    <w:adjustRightInd w:val="0"/>
                    <w:snapToGrid w:val="0"/>
                    <w:spacing w:line="240" w:lineRule="auto"/>
                    <w:ind w:left="0" w:right="0" w:firstLine="0"/>
                    <w:jc w:val="center"/>
                    <w:rPr>
                      <w:rFonts w:hint="eastAsia" w:ascii="Times New Roman" w:hAnsi="Times New Roman"/>
                      <w:color w:val="auto"/>
                      <w:sz w:val="21"/>
                      <w:szCs w:val="21"/>
                      <w:vertAlign w:val="baseline"/>
                      <w:lang w:val="en-US" w:eastAsia="zh-CN"/>
                    </w:rPr>
                  </w:pPr>
                  <w:r>
                    <w:rPr>
                      <w:sz w:val="21"/>
                      <w:szCs w:val="21"/>
                    </w:rPr>
                    <w:t>高</w:t>
                  </w:r>
                  <w:r>
                    <w:rPr>
                      <w:spacing w:val="3"/>
                      <w:sz w:val="21"/>
                      <w:szCs w:val="21"/>
                    </w:rPr>
                    <w:t>度</w:t>
                  </w:r>
                </w:p>
              </w:tc>
              <w:tc>
                <w:tcPr>
                  <w:tcW w:w="517" w:type="pct"/>
                  <w:vMerge w:val="continue"/>
                  <w:tcBorders>
                    <w:tl2br w:val="nil"/>
                    <w:tr2bl w:val="nil"/>
                  </w:tcBorders>
                  <w:vAlign w:val="center"/>
                </w:tcPr>
                <w:p w14:paraId="2BE99B53">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c>
                <w:tcPr>
                  <w:tcW w:w="533" w:type="pct"/>
                  <w:vMerge w:val="continue"/>
                  <w:tcBorders>
                    <w:tl2br w:val="nil"/>
                    <w:tr2bl w:val="nil"/>
                  </w:tcBorders>
                  <w:vAlign w:val="center"/>
                </w:tcPr>
                <w:p w14:paraId="09063B05">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c>
                <w:tcPr>
                  <w:tcW w:w="459" w:type="pct"/>
                  <w:vMerge w:val="continue"/>
                  <w:tcBorders>
                    <w:tl2br w:val="nil"/>
                    <w:tr2bl w:val="nil"/>
                  </w:tcBorders>
                  <w:vAlign w:val="center"/>
                </w:tcPr>
                <w:p w14:paraId="622401BC">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c>
                <w:tcPr>
                  <w:tcW w:w="556" w:type="pct"/>
                  <w:vMerge w:val="continue"/>
                  <w:tcBorders>
                    <w:tl2br w:val="nil"/>
                    <w:tr2bl w:val="nil"/>
                  </w:tcBorders>
                  <w:vAlign w:val="center"/>
                </w:tcPr>
                <w:p w14:paraId="1E120515">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c>
                <w:tcPr>
                  <w:tcW w:w="245" w:type="pct"/>
                  <w:vMerge w:val="continue"/>
                  <w:tcBorders>
                    <w:tl2br w:val="nil"/>
                    <w:tr2bl w:val="nil"/>
                  </w:tcBorders>
                  <w:vAlign w:val="center"/>
                </w:tcPr>
                <w:p w14:paraId="4200B410">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p>
              </w:tc>
            </w:tr>
            <w:tr w14:paraId="181BFE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8" w:type="pct"/>
                  <w:tcBorders>
                    <w:tl2br w:val="nil"/>
                    <w:tr2bl w:val="nil"/>
                  </w:tcBorders>
                  <w:vAlign w:val="center"/>
                </w:tcPr>
                <w:p w14:paraId="3DE70CE8">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color w:val="auto"/>
                      <w:sz w:val="21"/>
                      <w:szCs w:val="21"/>
                      <w:vertAlign w:val="baseline"/>
                      <w:lang w:val="en-US" w:eastAsia="zh-CN"/>
                    </w:rPr>
                    <w:t>中空玻璃生产车间</w:t>
                  </w:r>
                </w:p>
              </w:tc>
              <w:tc>
                <w:tcPr>
                  <w:tcW w:w="557" w:type="pct"/>
                  <w:tcBorders>
                    <w:tl2br w:val="nil"/>
                    <w:tr2bl w:val="nil"/>
                  </w:tcBorders>
                  <w:vAlign w:val="center"/>
                </w:tcPr>
                <w:p w14:paraId="2DA62A6B">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ascii="Times New Roman" w:hAnsi="Times New Roman"/>
                      <w:color w:val="auto"/>
                      <w:sz w:val="21"/>
                      <w:szCs w:val="21"/>
                      <w:vertAlign w:val="baseline"/>
                      <w:lang w:val="en-US" w:eastAsia="zh-CN"/>
                    </w:rPr>
                    <w:t>123.55444367</w:t>
                  </w:r>
                </w:p>
              </w:tc>
              <w:tc>
                <w:tcPr>
                  <w:tcW w:w="477" w:type="pct"/>
                  <w:tcBorders>
                    <w:tl2br w:val="nil"/>
                    <w:tr2bl w:val="nil"/>
                  </w:tcBorders>
                  <w:vAlign w:val="center"/>
                </w:tcPr>
                <w:p w14:paraId="0781C423">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ascii="Times New Roman" w:hAnsi="Times New Roman"/>
                      <w:color w:val="auto"/>
                      <w:sz w:val="21"/>
                      <w:szCs w:val="21"/>
                      <w:vertAlign w:val="baseline"/>
                      <w:lang w:val="en-US" w:eastAsia="zh-CN"/>
                    </w:rPr>
                    <w:t>42.41997051</w:t>
                  </w:r>
                </w:p>
              </w:tc>
              <w:tc>
                <w:tcPr>
                  <w:tcW w:w="331" w:type="pct"/>
                  <w:tcBorders>
                    <w:tl2br w:val="nil"/>
                    <w:tr2bl w:val="nil"/>
                  </w:tcBorders>
                  <w:vAlign w:val="center"/>
                </w:tcPr>
                <w:p w14:paraId="52BEBC2F">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80</w:t>
                  </w:r>
                </w:p>
              </w:tc>
              <w:tc>
                <w:tcPr>
                  <w:tcW w:w="315" w:type="pct"/>
                  <w:tcBorders>
                    <w:tl2br w:val="nil"/>
                    <w:tr2bl w:val="nil"/>
                  </w:tcBorders>
                  <w:vAlign w:val="center"/>
                </w:tcPr>
                <w:p w14:paraId="45435D2B">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25</w:t>
                  </w:r>
                </w:p>
              </w:tc>
              <w:tc>
                <w:tcPr>
                  <w:tcW w:w="476" w:type="pct"/>
                  <w:tcBorders>
                    <w:tl2br w:val="nil"/>
                    <w:tr2bl w:val="nil"/>
                  </w:tcBorders>
                  <w:vAlign w:val="center"/>
                </w:tcPr>
                <w:p w14:paraId="7C3B8DC3">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9</w:t>
                  </w:r>
                </w:p>
              </w:tc>
              <w:tc>
                <w:tcPr>
                  <w:tcW w:w="517" w:type="pct"/>
                  <w:tcBorders>
                    <w:tl2br w:val="nil"/>
                    <w:tr2bl w:val="nil"/>
                  </w:tcBorders>
                  <w:vAlign w:val="center"/>
                </w:tcPr>
                <w:p w14:paraId="5956F70F">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color w:val="auto"/>
                      <w:sz w:val="21"/>
                      <w:szCs w:val="21"/>
                      <w:vertAlign w:val="baseline"/>
                      <w:lang w:val="en-US" w:eastAsia="zh-CN"/>
                    </w:rPr>
                    <w:t>非甲烷总烃</w:t>
                  </w:r>
                </w:p>
              </w:tc>
              <w:tc>
                <w:tcPr>
                  <w:tcW w:w="533" w:type="pct"/>
                  <w:tcBorders>
                    <w:tl2br w:val="nil"/>
                    <w:tr2bl w:val="nil"/>
                  </w:tcBorders>
                  <w:vAlign w:val="center"/>
                </w:tcPr>
                <w:p w14:paraId="2021CE7D">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0.2282</w:t>
                  </w:r>
                </w:p>
              </w:tc>
              <w:tc>
                <w:tcPr>
                  <w:tcW w:w="459" w:type="pct"/>
                  <w:tcBorders>
                    <w:tl2br w:val="nil"/>
                    <w:tr2bl w:val="nil"/>
                  </w:tcBorders>
                  <w:vAlign w:val="center"/>
                </w:tcPr>
                <w:p w14:paraId="77CCEA1B">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0.095</w:t>
                  </w:r>
                </w:p>
              </w:tc>
              <w:tc>
                <w:tcPr>
                  <w:tcW w:w="556" w:type="pct"/>
                  <w:tcBorders>
                    <w:tl2br w:val="nil"/>
                    <w:tr2bl w:val="nil"/>
                  </w:tcBorders>
                  <w:vAlign w:val="center"/>
                </w:tcPr>
                <w:p w14:paraId="1A282F5B">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default" w:ascii="Times New Roman" w:hAnsi="Times New Roman"/>
                      <w:color w:val="auto"/>
                      <w:sz w:val="21"/>
                      <w:szCs w:val="21"/>
                      <w:vertAlign w:val="baseline"/>
                      <w:lang w:val="en-US" w:eastAsia="zh-CN"/>
                    </w:rPr>
                  </w:pPr>
                  <w:r>
                    <w:rPr>
                      <w:rFonts w:hint="eastAsia"/>
                      <w:color w:val="auto"/>
                      <w:sz w:val="21"/>
                      <w:szCs w:val="21"/>
                      <w:vertAlign w:val="baseline"/>
                      <w:lang w:val="en-US" w:eastAsia="zh-CN"/>
                    </w:rPr>
                    <w:t>0.93</w:t>
                  </w:r>
                </w:p>
              </w:tc>
              <w:tc>
                <w:tcPr>
                  <w:tcW w:w="245" w:type="pct"/>
                  <w:tcBorders>
                    <w:tl2br w:val="nil"/>
                    <w:tr2bl w:val="nil"/>
                  </w:tcBorders>
                  <w:vAlign w:val="center"/>
                </w:tcPr>
                <w:p w14:paraId="3EA9EF5C">
                  <w:pPr>
                    <w:pStyle w:val="55"/>
                    <w:keepNext w:val="0"/>
                    <w:keepLines w:val="0"/>
                    <w:pageBreakBefore w:val="0"/>
                    <w:kinsoku/>
                    <w:wordWrap/>
                    <w:overflowPunct/>
                    <w:topLinePunct w:val="0"/>
                    <w:autoSpaceDE/>
                    <w:autoSpaceDN/>
                    <w:bidi w:val="0"/>
                    <w:adjustRightInd w:val="0"/>
                    <w:snapToGrid w:val="0"/>
                    <w:spacing w:line="240" w:lineRule="auto"/>
                    <w:ind w:left="0" w:right="0" w:firstLine="0"/>
                    <w:jc w:val="center"/>
                    <w:textAlignment w:val="center"/>
                    <w:rPr>
                      <w:rFonts w:hint="eastAsia" w:ascii="Times New Roman" w:hAnsi="Times New Roman"/>
                      <w:color w:val="auto"/>
                      <w:sz w:val="21"/>
                      <w:szCs w:val="21"/>
                      <w:vertAlign w:val="baseline"/>
                      <w:lang w:val="en-US" w:eastAsia="zh-CN"/>
                    </w:rPr>
                  </w:pPr>
                  <w:r>
                    <w:rPr>
                      <w:rFonts w:hint="eastAsia"/>
                      <w:color w:val="auto"/>
                      <w:sz w:val="21"/>
                      <w:szCs w:val="21"/>
                      <w:vertAlign w:val="baseline"/>
                      <w:lang w:val="en-US" w:eastAsia="zh-CN"/>
                    </w:rPr>
                    <w:t>是</w:t>
                  </w:r>
                </w:p>
              </w:tc>
            </w:tr>
          </w:tbl>
          <w:p w14:paraId="4662C379">
            <w:pPr>
              <w:pStyle w:val="55"/>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center"/>
              <w:rPr>
                <w:rFonts w:hint="eastAsia"/>
                <w:bCs/>
                <w:color w:val="auto"/>
                <w:sz w:val="24"/>
                <w:szCs w:val="24"/>
                <w:lang w:eastAsia="zh-CN"/>
              </w:rPr>
            </w:pPr>
            <w:r>
              <w:rPr>
                <w:rFonts w:hint="eastAsia" w:eastAsia="宋体"/>
                <w:color w:val="auto"/>
                <w:sz w:val="24"/>
              </w:rPr>
              <w:t>厂区内无组织排放满足《玻璃工业大气污染物排放标准》（GB26453-2022）表B.1标准要求，厂界无组织排放参照《大气污染物综合排放标准》（GB16297-1996）表2无组织监控浓度限值要求</w:t>
            </w:r>
            <w:r>
              <w:rPr>
                <w:rFonts w:eastAsia="宋体"/>
                <w:color w:val="auto"/>
                <w:sz w:val="24"/>
              </w:rPr>
              <w:t>。因此本项目生产车间废气经评价提出的废气防治措施处理后</w:t>
            </w:r>
            <w:r>
              <w:rPr>
                <w:rFonts w:hint="eastAsia"/>
                <w:color w:val="auto"/>
                <w:sz w:val="24"/>
                <w:lang w:val="en-US" w:eastAsia="zh-CN"/>
              </w:rPr>
              <w:t>能够达标排放，对环境影响较小</w:t>
            </w:r>
            <w:r>
              <w:rPr>
                <w:rFonts w:hint="eastAsia"/>
                <w:bCs/>
                <w:color w:val="auto"/>
                <w:sz w:val="24"/>
                <w:szCs w:val="24"/>
                <w:lang w:eastAsia="zh-CN"/>
              </w:rPr>
              <w:t>。</w:t>
            </w:r>
          </w:p>
          <w:p w14:paraId="7029A066">
            <w:pPr>
              <w:pStyle w:val="55"/>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center"/>
              <w:rPr>
                <w:rFonts w:hint="eastAsia" w:eastAsia="宋体"/>
                <w:color w:val="auto"/>
                <w:sz w:val="24"/>
                <w:lang w:eastAsia="zh-CN"/>
              </w:rPr>
            </w:pPr>
            <w:r>
              <w:rPr>
                <w:rFonts w:hint="eastAsia" w:eastAsia="宋体"/>
                <w:color w:val="auto"/>
                <w:sz w:val="24"/>
                <w:lang w:eastAsia="zh-CN"/>
              </w:rPr>
              <w:t>（</w:t>
            </w:r>
            <w:r>
              <w:rPr>
                <w:rFonts w:hint="eastAsia"/>
                <w:color w:val="auto"/>
                <w:sz w:val="24"/>
                <w:lang w:val="en-US" w:eastAsia="zh-CN"/>
              </w:rPr>
              <w:t>7</w:t>
            </w:r>
            <w:r>
              <w:rPr>
                <w:rFonts w:hint="eastAsia" w:eastAsia="宋体"/>
                <w:color w:val="auto"/>
                <w:sz w:val="24"/>
                <w:lang w:eastAsia="zh-CN"/>
              </w:rPr>
              <w:t>）非正常排放废气</w:t>
            </w:r>
          </w:p>
          <w:p w14:paraId="65A258D2">
            <w:pPr>
              <w:pStyle w:val="55"/>
              <w:keepNext w:val="0"/>
              <w:keepLines w:val="0"/>
              <w:pageBreakBefore w:val="0"/>
              <w:kinsoku/>
              <w:wordWrap/>
              <w:overflowPunct/>
              <w:topLinePunct w:val="0"/>
              <w:bidi w:val="0"/>
              <w:adjustRightInd w:val="0"/>
              <w:snapToGrid w:val="0"/>
              <w:spacing w:line="360" w:lineRule="auto"/>
              <w:ind w:firstLine="426" w:firstLineChars="200"/>
              <w:jc w:val="center"/>
              <w:textAlignment w:val="center"/>
              <w:rPr>
                <w:rFonts w:hint="eastAsia"/>
                <w:b/>
                <w:bCs/>
                <w:spacing w:val="6"/>
              </w:rPr>
            </w:pPr>
            <w:r>
              <w:rPr>
                <w:b/>
                <w:bCs/>
                <w:spacing w:val="6"/>
              </w:rPr>
              <w:t>表</w:t>
            </w:r>
            <w:r>
              <w:rPr>
                <w:rFonts w:hint="eastAsia"/>
                <w:b/>
                <w:bCs/>
                <w:spacing w:val="6"/>
              </w:rPr>
              <w:t>4-</w:t>
            </w:r>
            <w:r>
              <w:rPr>
                <w:rFonts w:hint="eastAsia"/>
                <w:b/>
                <w:bCs/>
                <w:spacing w:val="6"/>
                <w:lang w:val="en-US" w:eastAsia="zh-CN"/>
              </w:rPr>
              <w:t xml:space="preserve">5  </w:t>
            </w:r>
            <w:r>
              <w:rPr>
                <w:rFonts w:hint="eastAsia"/>
                <w:b/>
                <w:bCs/>
                <w:spacing w:val="6"/>
              </w:rPr>
              <w:t>非正常情况废气排放一览表</w:t>
            </w:r>
          </w:p>
          <w:tbl>
            <w:tblPr>
              <w:tblStyle w:val="19"/>
              <w:tblW w:w="499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3"/>
              <w:gridCol w:w="546"/>
              <w:gridCol w:w="966"/>
              <w:gridCol w:w="587"/>
              <w:gridCol w:w="1221"/>
              <w:gridCol w:w="1201"/>
              <w:gridCol w:w="870"/>
              <w:gridCol w:w="564"/>
              <w:gridCol w:w="2200"/>
            </w:tblGrid>
            <w:tr w14:paraId="1EE64D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162" w:type="pct"/>
                  <w:tcBorders>
                    <w:tl2br w:val="nil"/>
                    <w:tr2bl w:val="nil"/>
                  </w:tcBorders>
                  <w:noWrap w:val="0"/>
                  <w:vAlign w:val="center"/>
                </w:tcPr>
                <w:p w14:paraId="5862C566">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序号</w:t>
                  </w:r>
                </w:p>
              </w:tc>
              <w:tc>
                <w:tcPr>
                  <w:tcW w:w="324" w:type="pct"/>
                  <w:tcBorders>
                    <w:tl2br w:val="nil"/>
                    <w:tr2bl w:val="nil"/>
                  </w:tcBorders>
                  <w:shd w:val="clear" w:color="auto" w:fill="auto"/>
                  <w:noWrap w:val="0"/>
                  <w:vAlign w:val="center"/>
                </w:tcPr>
                <w:p w14:paraId="4A43952C">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污染源</w:t>
                  </w:r>
                </w:p>
              </w:tc>
              <w:tc>
                <w:tcPr>
                  <w:tcW w:w="573" w:type="pct"/>
                  <w:tcBorders>
                    <w:tl2br w:val="nil"/>
                    <w:tr2bl w:val="nil"/>
                  </w:tcBorders>
                  <w:shd w:val="clear" w:color="auto" w:fill="auto"/>
                  <w:noWrap w:val="0"/>
                  <w:vAlign w:val="center"/>
                </w:tcPr>
                <w:p w14:paraId="4BD1F93A">
                  <w:pPr>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非正常排放原因</w:t>
                  </w:r>
                </w:p>
              </w:tc>
              <w:tc>
                <w:tcPr>
                  <w:tcW w:w="348" w:type="pct"/>
                  <w:tcBorders>
                    <w:tl2br w:val="nil"/>
                    <w:tr2bl w:val="nil"/>
                  </w:tcBorders>
                  <w:noWrap w:val="0"/>
                  <w:vAlign w:val="center"/>
                </w:tcPr>
                <w:p w14:paraId="7B0271B5">
                  <w:pPr>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污染物</w:t>
                  </w:r>
                </w:p>
              </w:tc>
              <w:tc>
                <w:tcPr>
                  <w:tcW w:w="724" w:type="pct"/>
                  <w:tcBorders>
                    <w:tl2br w:val="nil"/>
                    <w:tr2bl w:val="nil"/>
                  </w:tcBorders>
                  <w:noWrap w:val="0"/>
                  <w:vAlign w:val="center"/>
                </w:tcPr>
                <w:p w14:paraId="34FF63F7">
                  <w:pPr>
                    <w:jc w:val="center"/>
                    <w:rPr>
                      <w:rFonts w:hint="eastAsia"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非正常排放浓度（μ</w:t>
                  </w:r>
                  <w:r>
                    <w:rPr>
                      <w:rFonts w:hint="default" w:ascii="Times New Roman" w:hAnsi="Times New Roman" w:cs="Times New Roman"/>
                      <w:color w:val="auto"/>
                      <w:sz w:val="21"/>
                      <w:szCs w:val="21"/>
                      <w:highlight w:val="none"/>
                    </w:rPr>
                    <w:t>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lang w:eastAsia="zh-CN"/>
                    </w:rPr>
                    <w:t>）</w:t>
                  </w:r>
                </w:p>
              </w:tc>
              <w:tc>
                <w:tcPr>
                  <w:tcW w:w="712" w:type="pct"/>
                  <w:tcBorders>
                    <w:tl2br w:val="nil"/>
                    <w:tr2bl w:val="nil"/>
                  </w:tcBorders>
                  <w:noWrap w:val="0"/>
                  <w:vAlign w:val="center"/>
                </w:tcPr>
                <w:p w14:paraId="74D67A24">
                  <w:pPr>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非正常排放速率（</w:t>
                  </w:r>
                  <w:r>
                    <w:rPr>
                      <w:rFonts w:hint="eastAsia" w:ascii="Times New Roman" w:hAnsi="Times New Roman" w:cs="Times New Roman"/>
                      <w:color w:val="auto"/>
                      <w:sz w:val="21"/>
                      <w:szCs w:val="21"/>
                      <w:highlight w:val="none"/>
                      <w:lang w:val="en-US" w:eastAsia="zh-CN"/>
                    </w:rPr>
                    <w:t>kg</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h</w:t>
                  </w:r>
                  <w:r>
                    <w:rPr>
                      <w:rFonts w:hint="eastAsia" w:cs="Times New Roman"/>
                      <w:color w:val="auto"/>
                      <w:sz w:val="21"/>
                      <w:szCs w:val="21"/>
                      <w:highlight w:val="none"/>
                      <w:lang w:eastAsia="zh-CN"/>
                    </w:rPr>
                    <w:t>）</w:t>
                  </w:r>
                </w:p>
              </w:tc>
              <w:tc>
                <w:tcPr>
                  <w:tcW w:w="516" w:type="pct"/>
                  <w:tcBorders>
                    <w:tl2br w:val="nil"/>
                    <w:tr2bl w:val="nil"/>
                  </w:tcBorders>
                  <w:noWrap w:val="0"/>
                  <w:vAlign w:val="center"/>
                </w:tcPr>
                <w:p w14:paraId="7569AC84">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单次持续时间</w:t>
                  </w:r>
                  <w:r>
                    <w:rPr>
                      <w:rFonts w:hint="eastAsia" w:cs="Times New Roman"/>
                      <w:color w:val="auto"/>
                      <w:sz w:val="21"/>
                      <w:szCs w:val="21"/>
                      <w:highlight w:val="none"/>
                      <w:lang w:val="en-US" w:eastAsia="zh-CN"/>
                    </w:rPr>
                    <w:t>/h</w:t>
                  </w:r>
                </w:p>
              </w:tc>
              <w:tc>
                <w:tcPr>
                  <w:tcW w:w="334" w:type="pct"/>
                  <w:tcBorders>
                    <w:tl2br w:val="nil"/>
                    <w:tr2bl w:val="nil"/>
                  </w:tcBorders>
                  <w:noWrap w:val="0"/>
                  <w:vAlign w:val="center"/>
                </w:tcPr>
                <w:p w14:paraId="705168CD">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频次</w:t>
                  </w:r>
                </w:p>
              </w:tc>
              <w:tc>
                <w:tcPr>
                  <w:tcW w:w="1304" w:type="pct"/>
                  <w:tcBorders>
                    <w:tl2br w:val="nil"/>
                    <w:tr2bl w:val="nil"/>
                  </w:tcBorders>
                  <w:noWrap w:val="0"/>
                  <w:vAlign w:val="center"/>
                </w:tcPr>
                <w:p w14:paraId="124FF7C2">
                  <w:pPr>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应对措施</w:t>
                  </w:r>
                </w:p>
              </w:tc>
            </w:tr>
            <w:tr w14:paraId="5BB0B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162" w:type="pct"/>
                  <w:tcBorders>
                    <w:tl2br w:val="nil"/>
                    <w:tr2bl w:val="nil"/>
                  </w:tcBorders>
                  <w:noWrap w:val="0"/>
                  <w:vAlign w:val="center"/>
                </w:tcPr>
                <w:p w14:paraId="4424B9EB">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324" w:type="pct"/>
                  <w:tcBorders>
                    <w:tl2br w:val="nil"/>
                    <w:tr2bl w:val="nil"/>
                  </w:tcBorders>
                  <w:noWrap w:val="0"/>
                  <w:vAlign w:val="center"/>
                </w:tcPr>
                <w:p w14:paraId="235A94D9">
                  <w:pPr>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排气筒</w:t>
                  </w:r>
                </w:p>
              </w:tc>
              <w:tc>
                <w:tcPr>
                  <w:tcW w:w="573" w:type="pct"/>
                  <w:tcBorders>
                    <w:tl2br w:val="nil"/>
                    <w:tr2bl w:val="nil"/>
                  </w:tcBorders>
                  <w:noWrap w:val="0"/>
                  <w:vAlign w:val="center"/>
                </w:tcPr>
                <w:p w14:paraId="603D138A">
                  <w:pPr>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废气处理失效</w:t>
                  </w:r>
                </w:p>
              </w:tc>
              <w:tc>
                <w:tcPr>
                  <w:tcW w:w="348" w:type="pct"/>
                  <w:tcBorders>
                    <w:tl2br w:val="nil"/>
                    <w:tr2bl w:val="nil"/>
                  </w:tcBorders>
                  <w:noWrap w:val="0"/>
                  <w:vAlign w:val="center"/>
                </w:tcPr>
                <w:p w14:paraId="29488C57">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非甲烷总烃</w:t>
                  </w:r>
                </w:p>
              </w:tc>
              <w:tc>
                <w:tcPr>
                  <w:tcW w:w="724" w:type="pct"/>
                  <w:tcBorders>
                    <w:tl2br w:val="nil"/>
                    <w:tr2bl w:val="nil"/>
                  </w:tcBorders>
                  <w:noWrap w:val="0"/>
                  <w:vAlign w:val="center"/>
                </w:tcPr>
                <w:p w14:paraId="1A0E07A9">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38.03</w:t>
                  </w:r>
                </w:p>
              </w:tc>
              <w:tc>
                <w:tcPr>
                  <w:tcW w:w="712" w:type="pct"/>
                  <w:tcBorders>
                    <w:tl2br w:val="nil"/>
                    <w:tr2bl w:val="nil"/>
                  </w:tcBorders>
                  <w:noWrap w:val="0"/>
                  <w:vAlign w:val="center"/>
                </w:tcPr>
                <w:p w14:paraId="4839F080">
                  <w:pPr>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0.38</w:t>
                  </w:r>
                </w:p>
              </w:tc>
              <w:tc>
                <w:tcPr>
                  <w:tcW w:w="516" w:type="pct"/>
                  <w:tcBorders>
                    <w:tl2br w:val="nil"/>
                    <w:tr2bl w:val="nil"/>
                  </w:tcBorders>
                  <w:noWrap w:val="0"/>
                  <w:vAlign w:val="center"/>
                </w:tcPr>
                <w:p w14:paraId="034BDB26">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334" w:type="pct"/>
                  <w:tcBorders>
                    <w:tl2br w:val="nil"/>
                    <w:tr2bl w:val="nil"/>
                  </w:tcBorders>
                  <w:noWrap w:val="0"/>
                  <w:vAlign w:val="center"/>
                </w:tcPr>
                <w:p w14:paraId="07B7FF2B">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次/年</w:t>
                  </w:r>
                </w:p>
              </w:tc>
              <w:tc>
                <w:tcPr>
                  <w:tcW w:w="1304" w:type="pct"/>
                  <w:tcBorders>
                    <w:tl2br w:val="nil"/>
                    <w:tr2bl w:val="nil"/>
                  </w:tcBorders>
                  <w:noWrap w:val="0"/>
                  <w:vAlign w:val="center"/>
                </w:tcPr>
                <w:p w14:paraId="2B04340A">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产生废气的生产工序立即停止操作；尽快查明原因，尽快修复废气处理系统；专人对设施运行状态随时进行观察和检查；定期对废气处理设备进行维修和保养，适时大修。</w:t>
                  </w:r>
                </w:p>
              </w:tc>
            </w:tr>
          </w:tbl>
          <w:p w14:paraId="397CF6B3">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当出现非正常排放时，</w:t>
            </w:r>
            <w:r>
              <w:rPr>
                <w:rFonts w:hint="eastAsia" w:ascii="宋体" w:hAnsi="宋体"/>
                <w:color w:val="auto"/>
                <w:sz w:val="24"/>
                <w:szCs w:val="24"/>
              </w:rPr>
              <w:t>废气</w:t>
            </w:r>
            <w:r>
              <w:rPr>
                <w:rFonts w:ascii="宋体" w:hAnsi="宋体"/>
                <w:color w:val="auto"/>
                <w:sz w:val="24"/>
                <w:szCs w:val="24"/>
              </w:rPr>
              <w:t>排放量显著增大，因此项目应防止非正常排放，应对废气处理设施做好定期维护，确保正常运行。若</w:t>
            </w:r>
            <w:r>
              <w:rPr>
                <w:rFonts w:hint="eastAsia" w:ascii="宋体" w:hAnsi="宋体"/>
                <w:color w:val="auto"/>
                <w:sz w:val="24"/>
                <w:szCs w:val="24"/>
              </w:rPr>
              <w:t>发现</w:t>
            </w:r>
            <w:r>
              <w:rPr>
                <w:rFonts w:ascii="宋体" w:hAnsi="宋体"/>
                <w:color w:val="auto"/>
                <w:sz w:val="24"/>
                <w:szCs w:val="24"/>
              </w:rPr>
              <w:t>非正常排放应进行</w:t>
            </w:r>
            <w:r>
              <w:rPr>
                <w:rFonts w:hint="eastAsia" w:ascii="宋体" w:hAnsi="宋体"/>
                <w:color w:val="auto"/>
                <w:sz w:val="24"/>
                <w:szCs w:val="24"/>
              </w:rPr>
              <w:t>及时</w:t>
            </w:r>
            <w:r>
              <w:rPr>
                <w:rFonts w:ascii="宋体" w:hAnsi="宋体"/>
                <w:color w:val="auto"/>
                <w:sz w:val="24"/>
                <w:szCs w:val="24"/>
              </w:rPr>
              <w:t>停产</w:t>
            </w:r>
            <w:r>
              <w:rPr>
                <w:rFonts w:hint="eastAsia" w:ascii="宋体" w:hAnsi="宋体"/>
                <w:color w:val="auto"/>
                <w:sz w:val="24"/>
                <w:szCs w:val="24"/>
                <w:lang w:eastAsia="zh-CN"/>
              </w:rPr>
              <w:t>废气排放的工序</w:t>
            </w:r>
            <w:r>
              <w:rPr>
                <w:rFonts w:ascii="宋体" w:hAnsi="宋体"/>
                <w:color w:val="auto"/>
                <w:sz w:val="24"/>
                <w:szCs w:val="24"/>
              </w:rPr>
              <w:t>，待废气处理设备修复正常后，方可开机运行。</w:t>
            </w:r>
          </w:p>
          <w:p w14:paraId="21E53810">
            <w:pPr>
              <w:pStyle w:val="55"/>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0"/>
                <w:sz w:val="24"/>
                <w:szCs w:val="24"/>
              </w:rPr>
              <w:t>综上所述，本项目对区域大气环境影响较小。</w:t>
            </w:r>
          </w:p>
          <w:p w14:paraId="2DD10EC1">
            <w:pPr>
              <w:keepNext w:val="0"/>
              <w:keepLines w:val="0"/>
              <w:pageBreakBefore w:val="0"/>
              <w:kinsoku/>
              <w:wordWrap/>
              <w:overflowPunct/>
              <w:topLinePunct w:val="0"/>
              <w:autoSpaceDE/>
              <w:autoSpaceDN/>
              <w:bidi w:val="0"/>
              <w:adjustRightInd w:val="0"/>
              <w:snapToGrid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2、废水</w:t>
            </w:r>
          </w:p>
          <w:p w14:paraId="76F5591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（1）废水污染物排放源</w:t>
            </w:r>
          </w:p>
          <w:p w14:paraId="542FA3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s="Times New Roman"/>
                <w:sz w:val="24"/>
                <w:szCs w:val="24"/>
                <w:lang w:val="en-US" w:eastAsia="zh-CN"/>
              </w:rPr>
            </w:pPr>
            <w:r>
              <w:rPr>
                <w:rFonts w:hint="default" w:ascii="Times New Roman" w:hAnsi="Times New Roman" w:cs="Times New Roman"/>
                <w:sz w:val="24"/>
                <w:szCs w:val="24"/>
                <w:lang w:eastAsia="zh-CN"/>
              </w:rPr>
              <w:t>本项目生产废水为打磨和清洗废水，</w:t>
            </w:r>
            <w:r>
              <w:rPr>
                <w:rFonts w:hint="eastAsia" w:cs="Times New Roman"/>
                <w:sz w:val="24"/>
                <w:szCs w:val="24"/>
                <w:lang w:eastAsia="zh-CN"/>
              </w:rPr>
              <w:t>年产生量按生产用水量</w:t>
            </w:r>
            <w:r>
              <w:rPr>
                <w:rFonts w:hint="eastAsia" w:cs="Times New Roman"/>
                <w:sz w:val="24"/>
                <w:szCs w:val="24"/>
                <w:lang w:val="en-US" w:eastAsia="zh-CN"/>
              </w:rPr>
              <w:t>90%计算，则生产废水产量为1728</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cs="Times New Roman"/>
                <w:sz w:val="24"/>
                <w:szCs w:val="24"/>
                <w:lang w:eastAsia="zh-CN"/>
              </w:rPr>
              <w:t>/a</w:t>
            </w:r>
            <w:r>
              <w:rPr>
                <w:rFonts w:hint="default" w:ascii="Times New Roman" w:hAnsi="Times New Roman" w:cs="Times New Roman"/>
                <w:sz w:val="24"/>
                <w:szCs w:val="24"/>
                <w:lang w:eastAsia="zh-CN"/>
              </w:rPr>
              <w:t>经生产废水处理设备处理后，循环使用，不外排。生产废水处理工序为沉淀</w:t>
            </w:r>
            <w:r>
              <w:rPr>
                <w:rFonts w:hint="default" w:ascii="Times New Roman" w:hAnsi="Times New Roman" w:cs="Times New Roman"/>
                <w:sz w:val="24"/>
                <w:szCs w:val="24"/>
                <w:lang w:val="en-US" w:eastAsia="zh-CN"/>
              </w:rPr>
              <w:t>-絮</w:t>
            </w:r>
            <w:r>
              <w:rPr>
                <w:rFonts w:hint="eastAsia" w:cs="Times New Roman"/>
                <w:sz w:val="24"/>
                <w:szCs w:val="24"/>
                <w:lang w:val="en-US" w:eastAsia="zh-CN"/>
              </w:rPr>
              <w:t>凝-压滤。</w:t>
            </w:r>
            <w:r>
              <w:rPr>
                <w:rFonts w:hint="eastAsia"/>
                <w:sz w:val="24"/>
                <w:szCs w:val="24"/>
                <w:lang w:val="en-US" w:eastAsia="zh-CN"/>
              </w:rPr>
              <w:t>处理后的水质</w:t>
            </w:r>
            <w:r>
              <w:rPr>
                <w:rFonts w:hint="eastAsia"/>
                <w:sz w:val="24"/>
                <w:szCs w:val="24"/>
                <w:highlight w:val="none"/>
                <w:lang w:val="en-US" w:eastAsia="zh-CN"/>
              </w:rPr>
              <w:t>满足《城市污水再生利用 工业用水水质》（GB/T19923-2024）要求。</w:t>
            </w:r>
          </w:p>
          <w:p w14:paraId="499E9D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sz w:val="24"/>
                <w:szCs w:val="24"/>
              </w:rPr>
            </w:pPr>
            <w:r>
              <w:rPr>
                <w:rFonts w:hint="eastAsia" w:cs="Times New Roman"/>
                <w:sz w:val="24"/>
                <w:szCs w:val="24"/>
                <w:lang w:eastAsia="zh-CN"/>
              </w:rPr>
              <w:t>生活污水产生量按照用水量80%计算，则生活污水产生量为</w:t>
            </w:r>
            <w:r>
              <w:rPr>
                <w:rFonts w:hint="eastAsia" w:cs="Times New Roman"/>
                <w:sz w:val="24"/>
                <w:szCs w:val="24"/>
                <w:lang w:val="en-US" w:eastAsia="zh-CN"/>
              </w:rPr>
              <w:t>0.9m</w:t>
            </w:r>
            <w:r>
              <w:rPr>
                <w:rFonts w:hint="eastAsia" w:cs="Times New Roman"/>
                <w:sz w:val="24"/>
                <w:szCs w:val="24"/>
                <w:vertAlign w:val="superscript"/>
                <w:lang w:val="en-US" w:eastAsia="zh-CN"/>
              </w:rPr>
              <w:t>3</w:t>
            </w:r>
            <w:r>
              <w:rPr>
                <w:rFonts w:hint="eastAsia" w:cs="Times New Roman"/>
                <w:sz w:val="24"/>
                <w:szCs w:val="24"/>
                <w:lang w:val="en-US" w:eastAsia="zh-CN"/>
              </w:rPr>
              <w:t>/d，270</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eastAsia" w:cs="Times New Roman"/>
                <w:sz w:val="24"/>
                <w:szCs w:val="24"/>
                <w:lang w:eastAsia="zh-CN"/>
              </w:rPr>
              <w:t>/a。生活污水经化</w:t>
            </w:r>
            <w:r>
              <w:rPr>
                <w:rFonts w:hint="default" w:ascii="Times New Roman" w:hAnsi="Times New Roman" w:cs="Times New Roman"/>
                <w:sz w:val="24"/>
                <w:szCs w:val="24"/>
                <w:lang w:eastAsia="zh-CN"/>
              </w:rPr>
              <w:t>粪池处理后排入</w:t>
            </w:r>
            <w:r>
              <w:rPr>
                <w:rFonts w:hint="default" w:ascii="Times New Roman" w:hAnsi="Times New Roman" w:cs="Times New Roman"/>
                <w:sz w:val="24"/>
                <w:szCs w:val="24"/>
                <w:lang w:val="en-US" w:eastAsia="zh-CN"/>
              </w:rPr>
              <w:t>调兵山城市污水处理厂进一步处理</w:t>
            </w:r>
            <w:r>
              <w:rPr>
                <w:rFonts w:hint="default" w:ascii="Times New Roman" w:hAnsi="Times New Roman" w:cs="Times New Roman"/>
                <w:sz w:val="24"/>
                <w:szCs w:val="24"/>
                <w:lang w:eastAsia="zh-CN"/>
              </w:rPr>
              <w:t>，废水产排情况见下表；</w:t>
            </w:r>
          </w:p>
          <w:p w14:paraId="025151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表4-</w:t>
            </w:r>
            <w:r>
              <w:rPr>
                <w:rFonts w:hint="eastAsia" w:cs="Times New Roman"/>
                <w:b/>
                <w:color w:val="auto"/>
                <w:sz w:val="21"/>
                <w:szCs w:val="21"/>
                <w:lang w:val="en-US" w:eastAsia="zh-CN"/>
              </w:rPr>
              <w:t>6</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废水产污环节、污染物种类、排放形式及污染防治设施一览表</w:t>
            </w:r>
          </w:p>
          <w:tbl>
            <w:tblPr>
              <w:tblStyle w:val="20"/>
              <w:tblpPr w:leftFromText="180" w:rightFromText="180" w:vertAnchor="text" w:horzAnchor="page" w:tblpX="97" w:tblpY="204"/>
              <w:tblOverlap w:val="never"/>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0"/>
              <w:gridCol w:w="712"/>
              <w:gridCol w:w="461"/>
              <w:gridCol w:w="709"/>
              <w:gridCol w:w="670"/>
              <w:gridCol w:w="929"/>
              <w:gridCol w:w="567"/>
              <w:gridCol w:w="679"/>
              <w:gridCol w:w="679"/>
              <w:gridCol w:w="922"/>
              <w:gridCol w:w="966"/>
              <w:gridCol w:w="679"/>
            </w:tblGrid>
            <w:tr w14:paraId="5B6954DC">
              <w:tblPrEx>
                <w:tblCellMar>
                  <w:top w:w="0" w:type="dxa"/>
                  <w:left w:w="108" w:type="dxa"/>
                  <w:bottom w:w="0" w:type="dxa"/>
                  <w:right w:w="108" w:type="dxa"/>
                </w:tblCellMar>
              </w:tblPrEx>
              <w:trPr>
                <w:trHeight w:val="397" w:hRule="atLeast"/>
              </w:trPr>
              <w:tc>
                <w:tcPr>
                  <w:tcW w:w="273" w:type="pct"/>
                  <w:vMerge w:val="restart"/>
                  <w:tcBorders>
                    <w:tl2br w:val="nil"/>
                    <w:tr2bl w:val="nil"/>
                  </w:tcBorders>
                  <w:noWrap w:val="0"/>
                  <w:vAlign w:val="center"/>
                </w:tcPr>
                <w:p w14:paraId="0F691AE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排放源</w:t>
                  </w:r>
                </w:p>
              </w:tc>
              <w:tc>
                <w:tcPr>
                  <w:tcW w:w="422" w:type="pct"/>
                  <w:vMerge w:val="restart"/>
                  <w:tcBorders>
                    <w:tl2br w:val="nil"/>
                    <w:tr2bl w:val="nil"/>
                  </w:tcBorders>
                  <w:noWrap w:val="0"/>
                  <w:vAlign w:val="center"/>
                </w:tcPr>
                <w:p w14:paraId="0FADEE9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污染物</w:t>
                  </w:r>
                </w:p>
              </w:tc>
              <w:tc>
                <w:tcPr>
                  <w:tcW w:w="273" w:type="pct"/>
                  <w:vMerge w:val="restart"/>
                  <w:tcBorders>
                    <w:tl2br w:val="nil"/>
                    <w:tr2bl w:val="nil"/>
                  </w:tcBorders>
                  <w:noWrap w:val="0"/>
                  <w:vAlign w:val="center"/>
                </w:tcPr>
                <w:p w14:paraId="6E4F3B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核</w:t>
                  </w:r>
                </w:p>
                <w:p w14:paraId="423536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算</w:t>
                  </w:r>
                </w:p>
                <w:p w14:paraId="36F2D0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方</w:t>
                  </w:r>
                </w:p>
                <w:p w14:paraId="0E3BD58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法</w:t>
                  </w:r>
                </w:p>
              </w:tc>
              <w:tc>
                <w:tcPr>
                  <w:tcW w:w="420" w:type="pct"/>
                  <w:vMerge w:val="restart"/>
                  <w:tcBorders>
                    <w:tl2br w:val="nil"/>
                    <w:tr2bl w:val="nil"/>
                  </w:tcBorders>
                  <w:noWrap w:val="0"/>
                  <w:vAlign w:val="center"/>
                </w:tcPr>
                <w:p w14:paraId="1C5691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产</w:t>
                  </w:r>
                </w:p>
                <w:p w14:paraId="78DC0A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生</w:t>
                  </w:r>
                </w:p>
                <w:p w14:paraId="51928C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量</w:t>
                  </w:r>
                </w:p>
                <w:p w14:paraId="0CFF8D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t/a</w:t>
                  </w:r>
                </w:p>
              </w:tc>
              <w:tc>
                <w:tcPr>
                  <w:tcW w:w="947" w:type="pct"/>
                  <w:gridSpan w:val="2"/>
                  <w:tcBorders>
                    <w:tl2br w:val="nil"/>
                    <w:tr2bl w:val="nil"/>
                  </w:tcBorders>
                  <w:noWrap w:val="0"/>
                  <w:vAlign w:val="center"/>
                </w:tcPr>
                <w:p w14:paraId="03F3E7F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污染物产生</w:t>
                  </w:r>
                </w:p>
              </w:tc>
              <w:tc>
                <w:tcPr>
                  <w:tcW w:w="336" w:type="pct"/>
                  <w:vMerge w:val="restart"/>
                  <w:tcBorders>
                    <w:tl2br w:val="nil"/>
                    <w:tr2bl w:val="nil"/>
                  </w:tcBorders>
                  <w:noWrap w:val="0"/>
                  <w:vAlign w:val="center"/>
                </w:tcPr>
                <w:p w14:paraId="39EB5E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处理方式</w:t>
                  </w:r>
                </w:p>
              </w:tc>
              <w:tc>
                <w:tcPr>
                  <w:tcW w:w="402" w:type="pct"/>
                  <w:vMerge w:val="restart"/>
                  <w:tcBorders>
                    <w:tl2br w:val="nil"/>
                    <w:tr2bl w:val="nil"/>
                  </w:tcBorders>
                  <w:noWrap w:val="0"/>
                  <w:vAlign w:val="center"/>
                </w:tcPr>
                <w:p w14:paraId="151F2E1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处理效率%</w:t>
                  </w:r>
                </w:p>
              </w:tc>
              <w:tc>
                <w:tcPr>
                  <w:tcW w:w="948" w:type="pct"/>
                  <w:gridSpan w:val="2"/>
                  <w:tcBorders>
                    <w:tl2br w:val="nil"/>
                    <w:tr2bl w:val="nil"/>
                  </w:tcBorders>
                  <w:noWrap w:val="0"/>
                  <w:vAlign w:val="center"/>
                </w:tcPr>
                <w:p w14:paraId="419E6B94">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污染物排放</w:t>
                  </w:r>
                </w:p>
              </w:tc>
              <w:tc>
                <w:tcPr>
                  <w:tcW w:w="572" w:type="pct"/>
                  <w:vMerge w:val="restart"/>
                  <w:tcBorders>
                    <w:tl2br w:val="nil"/>
                    <w:tr2bl w:val="nil"/>
                  </w:tcBorders>
                  <w:noWrap w:val="0"/>
                  <w:vAlign w:val="center"/>
                </w:tcPr>
                <w:p w14:paraId="4766FC6D">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排放去向</w:t>
                  </w:r>
                </w:p>
              </w:tc>
              <w:tc>
                <w:tcPr>
                  <w:tcW w:w="402" w:type="pct"/>
                  <w:vMerge w:val="restart"/>
                  <w:tcBorders>
                    <w:tl2br w:val="nil"/>
                    <w:tr2bl w:val="nil"/>
                  </w:tcBorders>
                  <w:noWrap w:val="0"/>
                  <w:vAlign w:val="center"/>
                </w:tcPr>
                <w:p w14:paraId="35D543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排水标准</w:t>
                  </w:r>
                </w:p>
                <w:p w14:paraId="123881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mg/L</w:t>
                  </w:r>
                </w:p>
              </w:tc>
            </w:tr>
            <w:tr w14:paraId="0A1F6D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4FB27A6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p>
              </w:tc>
              <w:tc>
                <w:tcPr>
                  <w:tcW w:w="422" w:type="pct"/>
                  <w:vMerge w:val="continue"/>
                  <w:tcBorders>
                    <w:tl2br w:val="nil"/>
                    <w:tr2bl w:val="nil"/>
                  </w:tcBorders>
                  <w:noWrap w:val="0"/>
                  <w:vAlign w:val="center"/>
                </w:tcPr>
                <w:p w14:paraId="2FB9AA5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273" w:type="pct"/>
                  <w:vMerge w:val="continue"/>
                  <w:tcBorders>
                    <w:tl2br w:val="nil"/>
                    <w:tr2bl w:val="nil"/>
                  </w:tcBorders>
                  <w:noWrap w:val="0"/>
                  <w:vAlign w:val="center"/>
                </w:tcPr>
                <w:p w14:paraId="6118E18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17D6403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397" w:type="pct"/>
                  <w:tcBorders>
                    <w:tl2br w:val="nil"/>
                    <w:tr2bl w:val="nil"/>
                  </w:tcBorders>
                  <w:noWrap w:val="0"/>
                  <w:vAlign w:val="center"/>
                </w:tcPr>
                <w:p w14:paraId="0B4288B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浓度</w:t>
                  </w:r>
                </w:p>
                <w:p w14:paraId="0AB9CB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mg/L</w:t>
                  </w:r>
                </w:p>
              </w:tc>
              <w:tc>
                <w:tcPr>
                  <w:tcW w:w="549" w:type="pct"/>
                  <w:tcBorders>
                    <w:tl2br w:val="nil"/>
                    <w:tr2bl w:val="nil"/>
                  </w:tcBorders>
                  <w:noWrap w:val="0"/>
                  <w:vAlign w:val="center"/>
                </w:tcPr>
                <w:p w14:paraId="527CA9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产生量</w:t>
                  </w:r>
                </w:p>
                <w:p w14:paraId="4DF64FB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t/a</w:t>
                  </w:r>
                </w:p>
              </w:tc>
              <w:tc>
                <w:tcPr>
                  <w:tcW w:w="336" w:type="pct"/>
                  <w:vMerge w:val="continue"/>
                  <w:tcBorders>
                    <w:tl2br w:val="nil"/>
                    <w:tr2bl w:val="nil"/>
                  </w:tcBorders>
                  <w:noWrap w:val="0"/>
                  <w:vAlign w:val="center"/>
                </w:tcPr>
                <w:p w14:paraId="373697B2">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vMerge w:val="continue"/>
                  <w:tcBorders>
                    <w:tl2br w:val="nil"/>
                    <w:tr2bl w:val="nil"/>
                  </w:tcBorders>
                  <w:noWrap w:val="0"/>
                  <w:vAlign w:val="center"/>
                </w:tcPr>
                <w:p w14:paraId="01AB1F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bidi="ar"/>
                    </w:rPr>
                  </w:pPr>
                </w:p>
              </w:tc>
              <w:tc>
                <w:tcPr>
                  <w:tcW w:w="402" w:type="pct"/>
                  <w:tcBorders>
                    <w:tl2br w:val="nil"/>
                    <w:tr2bl w:val="nil"/>
                  </w:tcBorders>
                  <w:noWrap w:val="0"/>
                  <w:vAlign w:val="center"/>
                </w:tcPr>
                <w:p w14:paraId="0F14FF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浓度</w:t>
                  </w:r>
                </w:p>
                <w:p w14:paraId="3DC51C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mg/L</w:t>
                  </w:r>
                </w:p>
              </w:tc>
              <w:tc>
                <w:tcPr>
                  <w:tcW w:w="545" w:type="pct"/>
                  <w:tcBorders>
                    <w:tl2br w:val="nil"/>
                    <w:tr2bl w:val="nil"/>
                  </w:tcBorders>
                  <w:noWrap w:val="0"/>
                  <w:vAlign w:val="center"/>
                </w:tcPr>
                <w:p w14:paraId="51FCA2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lang w:val="en-US" w:eastAsia="zh-CN" w:bidi="ar"/>
                    </w:rPr>
                    <w:t>排放量</w:t>
                  </w:r>
                </w:p>
                <w:p w14:paraId="267824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t/a</w:t>
                  </w:r>
                </w:p>
              </w:tc>
              <w:tc>
                <w:tcPr>
                  <w:tcW w:w="572" w:type="pct"/>
                  <w:vMerge w:val="continue"/>
                  <w:tcBorders>
                    <w:tl2br w:val="nil"/>
                    <w:tr2bl w:val="nil"/>
                  </w:tcBorders>
                  <w:noWrap w:val="0"/>
                  <w:vAlign w:val="center"/>
                </w:tcPr>
                <w:p w14:paraId="6579A373">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vMerge w:val="continue"/>
                  <w:tcBorders>
                    <w:tl2br w:val="nil"/>
                    <w:tr2bl w:val="nil"/>
                  </w:tcBorders>
                  <w:noWrap w:val="0"/>
                  <w:vAlign w:val="center"/>
                </w:tcPr>
                <w:p w14:paraId="78FF7ED4">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r w14:paraId="53096E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restart"/>
                  <w:tcBorders>
                    <w:tl2br w:val="nil"/>
                    <w:tr2bl w:val="nil"/>
                  </w:tcBorders>
                  <w:noWrap w:val="0"/>
                  <w:vAlign w:val="center"/>
                </w:tcPr>
                <w:p w14:paraId="7AE6BDC4">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生活污水</w:t>
                  </w:r>
                </w:p>
              </w:tc>
              <w:tc>
                <w:tcPr>
                  <w:tcW w:w="422" w:type="pct"/>
                  <w:tcBorders>
                    <w:tl2br w:val="nil"/>
                    <w:tr2bl w:val="nil"/>
                  </w:tcBorders>
                  <w:noWrap w:val="0"/>
                  <w:vAlign w:val="center"/>
                </w:tcPr>
                <w:p w14:paraId="605FA2F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COD</w:t>
                  </w:r>
                </w:p>
              </w:tc>
              <w:tc>
                <w:tcPr>
                  <w:tcW w:w="273" w:type="pct"/>
                  <w:vMerge w:val="restart"/>
                  <w:tcBorders>
                    <w:tl2br w:val="nil"/>
                    <w:tr2bl w:val="nil"/>
                  </w:tcBorders>
                  <w:noWrap w:val="0"/>
                  <w:vAlign w:val="center"/>
                </w:tcPr>
                <w:p w14:paraId="6A11E7A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产污系数法</w:t>
                  </w:r>
                </w:p>
              </w:tc>
              <w:tc>
                <w:tcPr>
                  <w:tcW w:w="420" w:type="pct"/>
                  <w:vMerge w:val="restart"/>
                  <w:tcBorders>
                    <w:tl2br w:val="nil"/>
                    <w:tr2bl w:val="nil"/>
                  </w:tcBorders>
                  <w:noWrap w:val="0"/>
                  <w:vAlign w:val="center"/>
                </w:tcPr>
                <w:p w14:paraId="2E16D80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270</w:t>
                  </w:r>
                </w:p>
              </w:tc>
              <w:tc>
                <w:tcPr>
                  <w:tcW w:w="397" w:type="pct"/>
                  <w:tcBorders>
                    <w:tl2br w:val="nil"/>
                    <w:tr2bl w:val="nil"/>
                  </w:tcBorders>
                  <w:noWrap w:val="0"/>
                  <w:vAlign w:val="center"/>
                </w:tcPr>
                <w:p w14:paraId="6FF1B74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350</w:t>
                  </w:r>
                </w:p>
              </w:tc>
              <w:tc>
                <w:tcPr>
                  <w:tcW w:w="549" w:type="pct"/>
                  <w:tcBorders>
                    <w:tl2br w:val="nil"/>
                    <w:tr2bl w:val="nil"/>
                  </w:tcBorders>
                  <w:noWrap w:val="0"/>
                  <w:vAlign w:val="center"/>
                </w:tcPr>
                <w:p w14:paraId="32540FA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0.0945</w:t>
                  </w:r>
                </w:p>
              </w:tc>
              <w:tc>
                <w:tcPr>
                  <w:tcW w:w="336" w:type="pct"/>
                  <w:vMerge w:val="restart"/>
                  <w:tcBorders>
                    <w:tl2br w:val="nil"/>
                    <w:tr2bl w:val="nil"/>
                  </w:tcBorders>
                  <w:noWrap w:val="0"/>
                  <w:vAlign w:val="center"/>
                </w:tcPr>
                <w:p w14:paraId="2237FEA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化粪池</w:t>
                  </w:r>
                </w:p>
              </w:tc>
              <w:tc>
                <w:tcPr>
                  <w:tcW w:w="402" w:type="pct"/>
                  <w:tcBorders>
                    <w:tl2br w:val="nil"/>
                    <w:tr2bl w:val="nil"/>
                  </w:tcBorders>
                  <w:noWrap w:val="0"/>
                  <w:vAlign w:val="center"/>
                </w:tcPr>
                <w:p w14:paraId="529CB77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14.2</w:t>
                  </w:r>
                </w:p>
              </w:tc>
              <w:tc>
                <w:tcPr>
                  <w:tcW w:w="402" w:type="pct"/>
                  <w:tcBorders>
                    <w:tl2br w:val="nil"/>
                    <w:tr2bl w:val="nil"/>
                  </w:tcBorders>
                  <w:noWrap w:val="0"/>
                  <w:vAlign w:val="center"/>
                </w:tcPr>
                <w:p w14:paraId="6EF4CFD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c>
                <w:tcPr>
                  <w:tcW w:w="545" w:type="pct"/>
                  <w:tcBorders>
                    <w:tl2br w:val="nil"/>
                    <w:tr2bl w:val="nil"/>
                  </w:tcBorders>
                  <w:noWrap w:val="0"/>
                  <w:vAlign w:val="center"/>
                </w:tcPr>
                <w:p w14:paraId="3F7C876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0.081</w:t>
                  </w:r>
                </w:p>
              </w:tc>
              <w:tc>
                <w:tcPr>
                  <w:tcW w:w="572" w:type="pct"/>
                  <w:vMerge w:val="restart"/>
                  <w:tcBorders>
                    <w:tl2br w:val="nil"/>
                    <w:tr2bl w:val="nil"/>
                  </w:tcBorders>
                  <w:noWrap w:val="0"/>
                  <w:vAlign w:val="center"/>
                </w:tcPr>
                <w:p w14:paraId="5B28DDC1">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经</w:t>
                  </w:r>
                  <w:r>
                    <w:rPr>
                      <w:rFonts w:hint="default" w:ascii="Times New Roman" w:hAnsi="Times New Roman" w:eastAsia="宋体" w:cs="Times New Roman"/>
                      <w:b w:val="0"/>
                      <w:bCs w:val="0"/>
                      <w:color w:val="auto"/>
                      <w:sz w:val="21"/>
                      <w:szCs w:val="21"/>
                      <w:highlight w:val="none"/>
                    </w:rPr>
                    <w:t>化粪池</w:t>
                  </w:r>
                  <w:r>
                    <w:rPr>
                      <w:rFonts w:hint="default" w:ascii="Times New Roman" w:hAnsi="Times New Roman" w:eastAsia="宋体" w:cs="Times New Roman"/>
                      <w:b w:val="0"/>
                      <w:bCs w:val="0"/>
                      <w:color w:val="auto"/>
                      <w:sz w:val="21"/>
                      <w:szCs w:val="21"/>
                      <w:highlight w:val="none"/>
                      <w:lang w:eastAsia="zh-CN"/>
                    </w:rPr>
                    <w:t>处理排入</w:t>
                  </w:r>
                  <w:r>
                    <w:rPr>
                      <w:rFonts w:hint="eastAsia" w:ascii="Times New Roman" w:hAnsi="Times New Roman" w:eastAsia="宋体" w:cs="Times New Roman"/>
                      <w:b w:val="0"/>
                      <w:bCs w:val="0"/>
                      <w:color w:val="auto"/>
                      <w:sz w:val="21"/>
                      <w:szCs w:val="21"/>
                      <w:highlight w:val="none"/>
                      <w:lang w:eastAsia="zh-CN"/>
                    </w:rPr>
                    <w:t>调兵山城市</w:t>
                  </w:r>
                  <w:r>
                    <w:rPr>
                      <w:rFonts w:hint="default" w:ascii="Times New Roman" w:hAnsi="Times New Roman" w:eastAsia="宋体" w:cs="Times New Roman"/>
                      <w:b w:val="0"/>
                      <w:bCs w:val="0"/>
                      <w:color w:val="auto"/>
                      <w:sz w:val="21"/>
                      <w:szCs w:val="21"/>
                      <w:highlight w:val="none"/>
                      <w:lang w:eastAsia="zh-CN"/>
                    </w:rPr>
                    <w:t>污水处理厂</w:t>
                  </w:r>
                </w:p>
              </w:tc>
              <w:tc>
                <w:tcPr>
                  <w:tcW w:w="402" w:type="pct"/>
                  <w:tcBorders>
                    <w:tl2br w:val="nil"/>
                    <w:tr2bl w:val="nil"/>
                  </w:tcBorders>
                  <w:noWrap w:val="0"/>
                  <w:vAlign w:val="center"/>
                </w:tcPr>
                <w:p w14:paraId="0A72F2EB">
                  <w:pPr>
                    <w:pStyle w:val="34"/>
                    <w:keepNext w:val="0"/>
                    <w:keepLines w:val="0"/>
                    <w:pageBreakBefore w:val="0"/>
                    <w:tabs>
                      <w:tab w:val="left" w:pos="551"/>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r>
            <w:tr w14:paraId="3BC01A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79F9B8C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2" w:type="pct"/>
                  <w:tcBorders>
                    <w:tl2br w:val="nil"/>
                    <w:tr2bl w:val="nil"/>
                  </w:tcBorders>
                  <w:noWrap w:val="0"/>
                  <w:vAlign w:val="center"/>
                </w:tcPr>
                <w:p w14:paraId="63A29CD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氨氮</w:t>
                  </w:r>
                </w:p>
              </w:tc>
              <w:tc>
                <w:tcPr>
                  <w:tcW w:w="273" w:type="pct"/>
                  <w:vMerge w:val="continue"/>
                  <w:tcBorders>
                    <w:tl2br w:val="nil"/>
                    <w:tr2bl w:val="nil"/>
                  </w:tcBorders>
                  <w:noWrap w:val="0"/>
                  <w:vAlign w:val="center"/>
                </w:tcPr>
                <w:p w14:paraId="0460B9B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139A0CE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397" w:type="pct"/>
                  <w:tcBorders>
                    <w:tl2br w:val="nil"/>
                    <w:tr2bl w:val="nil"/>
                  </w:tcBorders>
                  <w:noWrap w:val="0"/>
                  <w:vAlign w:val="center"/>
                </w:tcPr>
                <w:p w14:paraId="5192CA0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w:t>
                  </w:r>
                </w:p>
              </w:tc>
              <w:tc>
                <w:tcPr>
                  <w:tcW w:w="549" w:type="pct"/>
                  <w:tcBorders>
                    <w:tl2br w:val="nil"/>
                    <w:tr2bl w:val="nil"/>
                  </w:tcBorders>
                  <w:noWrap w:val="0"/>
                  <w:vAlign w:val="center"/>
                </w:tcPr>
                <w:p w14:paraId="70ADC6B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0.0081</w:t>
                  </w:r>
                </w:p>
              </w:tc>
              <w:tc>
                <w:tcPr>
                  <w:tcW w:w="336" w:type="pct"/>
                  <w:vMerge w:val="continue"/>
                  <w:tcBorders>
                    <w:tl2br w:val="nil"/>
                    <w:tr2bl w:val="nil"/>
                  </w:tcBorders>
                  <w:noWrap w:val="0"/>
                  <w:vAlign w:val="center"/>
                </w:tcPr>
                <w:p w14:paraId="372D0853">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488E968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10</w:t>
                  </w:r>
                </w:p>
              </w:tc>
              <w:tc>
                <w:tcPr>
                  <w:tcW w:w="402" w:type="pct"/>
                  <w:tcBorders>
                    <w:tl2br w:val="nil"/>
                    <w:tr2bl w:val="nil"/>
                  </w:tcBorders>
                  <w:noWrap w:val="0"/>
                  <w:vAlign w:val="center"/>
                </w:tcPr>
                <w:p w14:paraId="4E5E56D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27</w:t>
                  </w:r>
                </w:p>
              </w:tc>
              <w:tc>
                <w:tcPr>
                  <w:tcW w:w="545" w:type="pct"/>
                  <w:tcBorders>
                    <w:tl2br w:val="nil"/>
                    <w:tr2bl w:val="nil"/>
                  </w:tcBorders>
                  <w:noWrap w:val="0"/>
                  <w:vAlign w:val="center"/>
                </w:tcPr>
                <w:p w14:paraId="7E0DDE2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0.0081</w:t>
                  </w:r>
                </w:p>
              </w:tc>
              <w:tc>
                <w:tcPr>
                  <w:tcW w:w="572" w:type="pct"/>
                  <w:vMerge w:val="continue"/>
                  <w:tcBorders>
                    <w:tl2br w:val="nil"/>
                    <w:tr2bl w:val="nil"/>
                  </w:tcBorders>
                  <w:noWrap w:val="0"/>
                  <w:vAlign w:val="center"/>
                </w:tcPr>
                <w:p w14:paraId="4E51312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5EA83B85">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30</w:t>
                  </w:r>
                </w:p>
              </w:tc>
            </w:tr>
            <w:tr w14:paraId="0120A4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260A3D3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2" w:type="pct"/>
                  <w:tcBorders>
                    <w:tl2br w:val="nil"/>
                    <w:tr2bl w:val="nil"/>
                  </w:tcBorders>
                  <w:noWrap w:val="0"/>
                  <w:vAlign w:val="center"/>
                </w:tcPr>
                <w:p w14:paraId="7C3342F2">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SS</w:t>
                  </w:r>
                </w:p>
              </w:tc>
              <w:tc>
                <w:tcPr>
                  <w:tcW w:w="273" w:type="pct"/>
                  <w:vMerge w:val="continue"/>
                  <w:tcBorders>
                    <w:tl2br w:val="nil"/>
                    <w:tr2bl w:val="nil"/>
                  </w:tcBorders>
                  <w:noWrap w:val="0"/>
                  <w:vAlign w:val="center"/>
                </w:tcPr>
                <w:p w14:paraId="14BC33C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534EF7A2">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397" w:type="pct"/>
                  <w:tcBorders>
                    <w:tl2br w:val="nil"/>
                    <w:tr2bl w:val="nil"/>
                  </w:tcBorders>
                  <w:noWrap w:val="0"/>
                  <w:vAlign w:val="center"/>
                </w:tcPr>
                <w:p w14:paraId="5E0A110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c>
                <w:tcPr>
                  <w:tcW w:w="549" w:type="pct"/>
                  <w:tcBorders>
                    <w:tl2br w:val="nil"/>
                    <w:tr2bl w:val="nil"/>
                  </w:tcBorders>
                  <w:noWrap w:val="0"/>
                  <w:vAlign w:val="center"/>
                </w:tcPr>
                <w:p w14:paraId="4EF8B71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0.081</w:t>
                  </w:r>
                </w:p>
              </w:tc>
              <w:tc>
                <w:tcPr>
                  <w:tcW w:w="336" w:type="pct"/>
                  <w:vMerge w:val="continue"/>
                  <w:tcBorders>
                    <w:tl2br w:val="nil"/>
                    <w:tr2bl w:val="nil"/>
                  </w:tcBorders>
                  <w:noWrap w:val="0"/>
                  <w:vAlign w:val="center"/>
                </w:tcPr>
                <w:p w14:paraId="4949BC1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00FE5882">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25</w:t>
                  </w:r>
                </w:p>
              </w:tc>
              <w:tc>
                <w:tcPr>
                  <w:tcW w:w="402" w:type="pct"/>
                  <w:tcBorders>
                    <w:tl2br w:val="nil"/>
                    <w:tr2bl w:val="nil"/>
                  </w:tcBorders>
                  <w:noWrap w:val="0"/>
                  <w:vAlign w:val="center"/>
                </w:tcPr>
                <w:p w14:paraId="3836E8B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c>
                <w:tcPr>
                  <w:tcW w:w="545" w:type="pct"/>
                  <w:tcBorders>
                    <w:tl2br w:val="nil"/>
                    <w:tr2bl w:val="nil"/>
                  </w:tcBorders>
                  <w:noWrap w:val="0"/>
                  <w:vAlign w:val="center"/>
                </w:tcPr>
                <w:p w14:paraId="7A16D5C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0.081</w:t>
                  </w:r>
                </w:p>
              </w:tc>
              <w:tc>
                <w:tcPr>
                  <w:tcW w:w="572" w:type="pct"/>
                  <w:vMerge w:val="continue"/>
                  <w:tcBorders>
                    <w:tl2br w:val="nil"/>
                    <w:tr2bl w:val="nil"/>
                  </w:tcBorders>
                  <w:noWrap w:val="0"/>
                  <w:vAlign w:val="center"/>
                </w:tcPr>
                <w:p w14:paraId="4D07421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2FE1A7B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r>
            <w:tr w14:paraId="703F65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46344B3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2" w:type="pct"/>
                  <w:tcBorders>
                    <w:tl2br w:val="nil"/>
                    <w:tr2bl w:val="nil"/>
                  </w:tcBorders>
                  <w:noWrap w:val="0"/>
                  <w:vAlign w:val="center"/>
                </w:tcPr>
                <w:p w14:paraId="23D4BE4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BOD</w:t>
                  </w:r>
                </w:p>
              </w:tc>
              <w:tc>
                <w:tcPr>
                  <w:tcW w:w="273" w:type="pct"/>
                  <w:vMerge w:val="continue"/>
                  <w:tcBorders>
                    <w:tl2br w:val="nil"/>
                    <w:tr2bl w:val="nil"/>
                  </w:tcBorders>
                  <w:noWrap w:val="0"/>
                  <w:vAlign w:val="center"/>
                </w:tcPr>
                <w:p w14:paraId="67FD7F8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43F32DE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397" w:type="pct"/>
                  <w:tcBorders>
                    <w:tl2br w:val="nil"/>
                    <w:tr2bl w:val="nil"/>
                  </w:tcBorders>
                  <w:noWrap w:val="0"/>
                  <w:vAlign w:val="center"/>
                </w:tcPr>
                <w:p w14:paraId="3565E10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275</w:t>
                  </w:r>
                </w:p>
              </w:tc>
              <w:tc>
                <w:tcPr>
                  <w:tcW w:w="549" w:type="pct"/>
                  <w:tcBorders>
                    <w:tl2br w:val="nil"/>
                    <w:tr2bl w:val="nil"/>
                  </w:tcBorders>
                  <w:noWrap w:val="0"/>
                  <w:vAlign w:val="center"/>
                </w:tcPr>
                <w:p w14:paraId="1E5E531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0.0216</w:t>
                  </w:r>
                </w:p>
              </w:tc>
              <w:tc>
                <w:tcPr>
                  <w:tcW w:w="336" w:type="pct"/>
                  <w:vMerge w:val="continue"/>
                  <w:tcBorders>
                    <w:tl2br w:val="nil"/>
                    <w:tr2bl w:val="nil"/>
                  </w:tcBorders>
                  <w:noWrap w:val="0"/>
                  <w:vAlign w:val="center"/>
                </w:tcPr>
                <w:p w14:paraId="14F52A02">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47F86FA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20</w:t>
                  </w:r>
                </w:p>
              </w:tc>
              <w:tc>
                <w:tcPr>
                  <w:tcW w:w="402" w:type="pct"/>
                  <w:tcBorders>
                    <w:tl2br w:val="nil"/>
                    <w:tr2bl w:val="nil"/>
                  </w:tcBorders>
                  <w:noWrap w:val="0"/>
                  <w:vAlign w:val="center"/>
                </w:tcPr>
                <w:p w14:paraId="787C8D0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eastAsia="宋体" w:cs="Times New Roman"/>
                      <w:b w:val="0"/>
                      <w:bCs w:val="0"/>
                      <w:color w:val="auto"/>
                      <w:sz w:val="21"/>
                      <w:szCs w:val="21"/>
                      <w:highlight w:val="none"/>
                      <w:vertAlign w:val="baseline"/>
                      <w:lang w:val="en-US" w:eastAsia="zh-CN"/>
                    </w:rPr>
                    <w:t>20</w:t>
                  </w:r>
                </w:p>
              </w:tc>
              <w:tc>
                <w:tcPr>
                  <w:tcW w:w="545" w:type="pct"/>
                  <w:tcBorders>
                    <w:tl2br w:val="nil"/>
                    <w:tr2bl w:val="nil"/>
                  </w:tcBorders>
                  <w:noWrap w:val="0"/>
                  <w:vAlign w:val="center"/>
                </w:tcPr>
                <w:p w14:paraId="5E4FB4D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0.0675</w:t>
                  </w:r>
                </w:p>
              </w:tc>
              <w:tc>
                <w:tcPr>
                  <w:tcW w:w="572" w:type="pct"/>
                  <w:vMerge w:val="continue"/>
                  <w:tcBorders>
                    <w:tl2br w:val="nil"/>
                    <w:tr2bl w:val="nil"/>
                  </w:tcBorders>
                  <w:noWrap w:val="0"/>
                  <w:vAlign w:val="center"/>
                </w:tcPr>
                <w:p w14:paraId="791B41A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6E6DD063">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eastAsia="宋体" w:cs="Times New Roman"/>
                      <w:b w:val="0"/>
                      <w:bCs w:val="0"/>
                      <w:color w:val="auto"/>
                      <w:sz w:val="21"/>
                      <w:szCs w:val="21"/>
                      <w:highlight w:val="none"/>
                      <w:vertAlign w:val="baseline"/>
                      <w:lang w:val="en-US" w:eastAsia="zh-CN"/>
                    </w:rPr>
                    <w:t>4</w:t>
                  </w:r>
                  <w:r>
                    <w:rPr>
                      <w:rFonts w:hint="default" w:ascii="Times New Roman" w:hAnsi="Times New Roman" w:eastAsia="宋体" w:cs="Times New Roman"/>
                      <w:b w:val="0"/>
                      <w:bCs w:val="0"/>
                      <w:color w:val="auto"/>
                      <w:sz w:val="21"/>
                      <w:szCs w:val="21"/>
                      <w:highlight w:val="none"/>
                      <w:vertAlign w:val="baseline"/>
                      <w:lang w:val="en-US" w:eastAsia="zh-CN"/>
                    </w:rPr>
                    <w:t>0</w:t>
                  </w:r>
                </w:p>
              </w:tc>
            </w:tr>
            <w:tr w14:paraId="3E9D7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restart"/>
                  <w:tcBorders>
                    <w:tl2br w:val="nil"/>
                    <w:tr2bl w:val="nil"/>
                  </w:tcBorders>
                  <w:noWrap w:val="0"/>
                  <w:vAlign w:val="center"/>
                </w:tcPr>
                <w:p w14:paraId="7DA138AD">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生产废水</w:t>
                  </w:r>
                </w:p>
              </w:tc>
              <w:tc>
                <w:tcPr>
                  <w:tcW w:w="422" w:type="pct"/>
                  <w:tcBorders>
                    <w:tl2br w:val="nil"/>
                    <w:tr2bl w:val="nil"/>
                  </w:tcBorders>
                  <w:noWrap w:val="0"/>
                  <w:vAlign w:val="center"/>
                </w:tcPr>
                <w:p w14:paraId="08E5F8C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SS</w:t>
                  </w:r>
                </w:p>
              </w:tc>
              <w:tc>
                <w:tcPr>
                  <w:tcW w:w="273" w:type="pct"/>
                  <w:vMerge w:val="restart"/>
                  <w:tcBorders>
                    <w:tl2br w:val="nil"/>
                    <w:tr2bl w:val="nil"/>
                  </w:tcBorders>
                  <w:noWrap w:val="0"/>
                  <w:vAlign w:val="center"/>
                </w:tcPr>
                <w:p w14:paraId="2841281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产污系数法</w:t>
                  </w:r>
                </w:p>
              </w:tc>
              <w:tc>
                <w:tcPr>
                  <w:tcW w:w="420" w:type="pct"/>
                  <w:vMerge w:val="restart"/>
                  <w:tcBorders>
                    <w:tl2br w:val="nil"/>
                    <w:tr2bl w:val="nil"/>
                  </w:tcBorders>
                  <w:noWrap w:val="0"/>
                  <w:vAlign w:val="center"/>
                </w:tcPr>
                <w:p w14:paraId="7675AB8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1728</w:t>
                  </w:r>
                </w:p>
              </w:tc>
              <w:tc>
                <w:tcPr>
                  <w:tcW w:w="397" w:type="pct"/>
                  <w:tcBorders>
                    <w:tl2br w:val="nil"/>
                    <w:tr2bl w:val="nil"/>
                  </w:tcBorders>
                  <w:noWrap w:val="0"/>
                  <w:vAlign w:val="center"/>
                </w:tcPr>
                <w:p w14:paraId="57231A0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300</w:t>
                  </w:r>
                </w:p>
              </w:tc>
              <w:tc>
                <w:tcPr>
                  <w:tcW w:w="549" w:type="pct"/>
                  <w:tcBorders>
                    <w:tl2br w:val="nil"/>
                    <w:tr2bl w:val="nil"/>
                  </w:tcBorders>
                  <w:noWrap w:val="0"/>
                  <w:vAlign w:val="center"/>
                </w:tcPr>
                <w:p w14:paraId="09049C75">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0.5184</w:t>
                  </w:r>
                </w:p>
              </w:tc>
              <w:tc>
                <w:tcPr>
                  <w:tcW w:w="336" w:type="pct"/>
                  <w:vMerge w:val="restart"/>
                  <w:tcBorders>
                    <w:tl2br w:val="nil"/>
                    <w:tr2bl w:val="nil"/>
                  </w:tcBorders>
                  <w:noWrap w:val="0"/>
                  <w:vAlign w:val="center"/>
                </w:tcPr>
                <w:p w14:paraId="6D664B5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沉淀池絮凝压滤</w:t>
                  </w:r>
                </w:p>
              </w:tc>
              <w:tc>
                <w:tcPr>
                  <w:tcW w:w="402" w:type="pct"/>
                  <w:tcBorders>
                    <w:tl2br w:val="nil"/>
                    <w:tr2bl w:val="nil"/>
                  </w:tcBorders>
                  <w:noWrap w:val="0"/>
                  <w:vAlign w:val="center"/>
                </w:tcPr>
                <w:p w14:paraId="382CCB3D">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90</w:t>
                  </w:r>
                </w:p>
              </w:tc>
              <w:tc>
                <w:tcPr>
                  <w:tcW w:w="402" w:type="pct"/>
                  <w:tcBorders>
                    <w:tl2br w:val="nil"/>
                    <w:tr2bl w:val="nil"/>
                  </w:tcBorders>
                  <w:noWrap w:val="0"/>
                  <w:vAlign w:val="center"/>
                </w:tcPr>
                <w:p w14:paraId="53EBAA0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30</w:t>
                  </w:r>
                </w:p>
              </w:tc>
              <w:tc>
                <w:tcPr>
                  <w:tcW w:w="545" w:type="pct"/>
                  <w:tcBorders>
                    <w:tl2br w:val="nil"/>
                    <w:tr2bl w:val="nil"/>
                  </w:tcBorders>
                  <w:noWrap w:val="0"/>
                  <w:vAlign w:val="center"/>
                </w:tcPr>
                <w:p w14:paraId="3776F46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572" w:type="pct"/>
                  <w:vMerge w:val="restart"/>
                  <w:tcBorders>
                    <w:tl2br w:val="nil"/>
                    <w:tr2bl w:val="nil"/>
                  </w:tcBorders>
                  <w:noWrap w:val="0"/>
                  <w:vAlign w:val="center"/>
                </w:tcPr>
                <w:p w14:paraId="67C1BD8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循环利用</w:t>
                  </w:r>
                </w:p>
                <w:p w14:paraId="0E1A801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73D7281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r>
            <w:tr w14:paraId="5A349D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61F7842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422" w:type="pct"/>
                  <w:tcBorders>
                    <w:tl2br w:val="nil"/>
                    <w:tr2bl w:val="nil"/>
                  </w:tcBorders>
                  <w:noWrap w:val="0"/>
                  <w:vAlign w:val="center"/>
                </w:tcPr>
                <w:p w14:paraId="06B71DB1">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pH</w:t>
                  </w:r>
                </w:p>
              </w:tc>
              <w:tc>
                <w:tcPr>
                  <w:tcW w:w="273" w:type="pct"/>
                  <w:vMerge w:val="continue"/>
                  <w:tcBorders>
                    <w:tl2br w:val="nil"/>
                    <w:tr2bl w:val="nil"/>
                  </w:tcBorders>
                  <w:noWrap w:val="0"/>
                  <w:vAlign w:val="center"/>
                </w:tcPr>
                <w:p w14:paraId="7580D85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7BEB5B1D">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397" w:type="pct"/>
                  <w:tcBorders>
                    <w:tl2br w:val="nil"/>
                    <w:tr2bl w:val="nil"/>
                  </w:tcBorders>
                  <w:noWrap w:val="0"/>
                  <w:vAlign w:val="center"/>
                </w:tcPr>
                <w:p w14:paraId="0BBCCB6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6-9</w:t>
                  </w:r>
                </w:p>
              </w:tc>
              <w:tc>
                <w:tcPr>
                  <w:tcW w:w="549" w:type="pct"/>
                  <w:tcBorders>
                    <w:tl2br w:val="nil"/>
                    <w:tr2bl w:val="nil"/>
                  </w:tcBorders>
                  <w:noWrap w:val="0"/>
                  <w:vAlign w:val="center"/>
                </w:tcPr>
                <w:p w14:paraId="1693C83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336" w:type="pct"/>
                  <w:vMerge w:val="continue"/>
                  <w:tcBorders>
                    <w:tl2br w:val="nil"/>
                    <w:tr2bl w:val="nil"/>
                  </w:tcBorders>
                  <w:noWrap w:val="0"/>
                  <w:vAlign w:val="center"/>
                </w:tcPr>
                <w:p w14:paraId="1B6772F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1B9DF6EB">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402" w:type="pct"/>
                  <w:tcBorders>
                    <w:tl2br w:val="nil"/>
                    <w:tr2bl w:val="nil"/>
                  </w:tcBorders>
                  <w:noWrap w:val="0"/>
                  <w:vAlign w:val="center"/>
                </w:tcPr>
                <w:p w14:paraId="2A323D7B">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545" w:type="pct"/>
                  <w:tcBorders>
                    <w:tl2br w:val="nil"/>
                    <w:tr2bl w:val="nil"/>
                  </w:tcBorders>
                  <w:noWrap w:val="0"/>
                  <w:vAlign w:val="center"/>
                </w:tcPr>
                <w:p w14:paraId="6A0E74B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572" w:type="pct"/>
                  <w:vMerge w:val="continue"/>
                  <w:tcBorders>
                    <w:tl2br w:val="nil"/>
                    <w:tr2bl w:val="nil"/>
                  </w:tcBorders>
                  <w:noWrap w:val="0"/>
                  <w:vAlign w:val="center"/>
                </w:tcPr>
                <w:p w14:paraId="566F38A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5CC5BBFB">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6-9</w:t>
                  </w:r>
                </w:p>
              </w:tc>
            </w:tr>
            <w:tr w14:paraId="6A6CAD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3" w:type="pct"/>
                  <w:vMerge w:val="continue"/>
                  <w:tcBorders>
                    <w:tl2br w:val="nil"/>
                    <w:tr2bl w:val="nil"/>
                  </w:tcBorders>
                  <w:noWrap w:val="0"/>
                  <w:vAlign w:val="center"/>
                </w:tcPr>
                <w:p w14:paraId="40A1D3A6">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422" w:type="pct"/>
                  <w:tcBorders>
                    <w:tl2br w:val="nil"/>
                    <w:tr2bl w:val="nil"/>
                  </w:tcBorders>
                  <w:noWrap w:val="0"/>
                  <w:vAlign w:val="center"/>
                </w:tcPr>
                <w:p w14:paraId="2BC5FE5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COD</w:t>
                  </w:r>
                </w:p>
              </w:tc>
              <w:tc>
                <w:tcPr>
                  <w:tcW w:w="273" w:type="pct"/>
                  <w:vMerge w:val="continue"/>
                  <w:tcBorders>
                    <w:tl2br w:val="nil"/>
                    <w:tr2bl w:val="nil"/>
                  </w:tcBorders>
                  <w:noWrap w:val="0"/>
                  <w:vAlign w:val="center"/>
                </w:tcPr>
                <w:p w14:paraId="5870931E">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420" w:type="pct"/>
                  <w:vMerge w:val="continue"/>
                  <w:tcBorders>
                    <w:tl2br w:val="nil"/>
                    <w:tr2bl w:val="nil"/>
                  </w:tcBorders>
                  <w:noWrap w:val="0"/>
                  <w:vAlign w:val="center"/>
                </w:tcPr>
                <w:p w14:paraId="2A289318">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397" w:type="pct"/>
                  <w:tcBorders>
                    <w:tl2br w:val="nil"/>
                    <w:tr2bl w:val="nil"/>
                  </w:tcBorders>
                  <w:noWrap w:val="0"/>
                  <w:vAlign w:val="center"/>
                </w:tcPr>
                <w:p w14:paraId="38B7A1D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50</w:t>
                  </w:r>
                </w:p>
              </w:tc>
              <w:tc>
                <w:tcPr>
                  <w:tcW w:w="549" w:type="pct"/>
                  <w:tcBorders>
                    <w:tl2br w:val="nil"/>
                    <w:tr2bl w:val="nil"/>
                  </w:tcBorders>
                  <w:noWrap w:val="0"/>
                  <w:vAlign w:val="center"/>
                </w:tcPr>
                <w:p w14:paraId="68A075BA">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0.0864</w:t>
                  </w:r>
                </w:p>
              </w:tc>
              <w:tc>
                <w:tcPr>
                  <w:tcW w:w="336" w:type="pct"/>
                  <w:vMerge w:val="continue"/>
                  <w:tcBorders>
                    <w:tl2br w:val="nil"/>
                    <w:tr2bl w:val="nil"/>
                  </w:tcBorders>
                  <w:noWrap w:val="0"/>
                  <w:vAlign w:val="center"/>
                </w:tcPr>
                <w:p w14:paraId="24FC2ECF">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583179C5">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20</w:t>
                  </w:r>
                </w:p>
              </w:tc>
              <w:tc>
                <w:tcPr>
                  <w:tcW w:w="402" w:type="pct"/>
                  <w:tcBorders>
                    <w:tl2br w:val="nil"/>
                    <w:tr2bl w:val="nil"/>
                  </w:tcBorders>
                  <w:noWrap w:val="0"/>
                  <w:vAlign w:val="center"/>
                </w:tcPr>
                <w:p w14:paraId="037DADD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40</w:t>
                  </w:r>
                </w:p>
              </w:tc>
              <w:tc>
                <w:tcPr>
                  <w:tcW w:w="545" w:type="pct"/>
                  <w:tcBorders>
                    <w:tl2br w:val="nil"/>
                    <w:tr2bl w:val="nil"/>
                  </w:tcBorders>
                  <w:noWrap w:val="0"/>
                  <w:vAlign w:val="center"/>
                </w:tcPr>
                <w:p w14:paraId="1659918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w:t>
                  </w:r>
                </w:p>
              </w:tc>
              <w:tc>
                <w:tcPr>
                  <w:tcW w:w="572" w:type="pct"/>
                  <w:vMerge w:val="continue"/>
                  <w:tcBorders>
                    <w:tl2br w:val="nil"/>
                    <w:tr2bl w:val="nil"/>
                  </w:tcBorders>
                  <w:noWrap w:val="0"/>
                  <w:vAlign w:val="center"/>
                </w:tcPr>
                <w:p w14:paraId="41D10E8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b w:val="0"/>
                      <w:bCs w:val="0"/>
                      <w:color w:val="auto"/>
                      <w:sz w:val="21"/>
                      <w:szCs w:val="21"/>
                      <w:highlight w:val="none"/>
                      <w:vertAlign w:val="baseline"/>
                      <w:lang w:val="en-US" w:eastAsia="zh-CN"/>
                    </w:rPr>
                  </w:pPr>
                </w:p>
              </w:tc>
              <w:tc>
                <w:tcPr>
                  <w:tcW w:w="402" w:type="pct"/>
                  <w:tcBorders>
                    <w:tl2br w:val="nil"/>
                    <w:tr2bl w:val="nil"/>
                  </w:tcBorders>
                  <w:noWrap w:val="0"/>
                  <w:vAlign w:val="center"/>
                </w:tcPr>
                <w:p w14:paraId="59669C9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eastAsia="宋体" w:cs="Times New Roman"/>
                      <w:b w:val="0"/>
                      <w:bCs w:val="0"/>
                      <w:color w:val="auto"/>
                      <w:sz w:val="21"/>
                      <w:szCs w:val="21"/>
                      <w:highlight w:val="none"/>
                      <w:vertAlign w:val="baseline"/>
                      <w:lang w:val="en-US" w:eastAsia="zh-CN"/>
                    </w:rPr>
                    <w:t>50</w:t>
                  </w:r>
                </w:p>
              </w:tc>
            </w:tr>
          </w:tbl>
          <w:p w14:paraId="4ACA604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（3）废水排放口基本信息</w:t>
            </w:r>
          </w:p>
          <w:p w14:paraId="7DE39008">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废水类别、污染物及污染治理设施信息见下表。 </w:t>
            </w:r>
          </w:p>
          <w:p w14:paraId="61D2356D">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Times New Roman"/>
                <w:b/>
                <w:color w:val="auto"/>
                <w:spacing w:val="0"/>
                <w:kern w:val="2"/>
                <w:sz w:val="21"/>
                <w:szCs w:val="21"/>
                <w:lang w:val="en-US" w:eastAsia="zh-CN" w:bidi="ar-SA"/>
              </w:rPr>
            </w:pPr>
            <w:r>
              <w:rPr>
                <w:rFonts w:hint="default" w:ascii="Times New Roman" w:hAnsi="Times New Roman" w:eastAsia="宋体" w:cs="Times New Roman"/>
                <w:b/>
                <w:color w:val="auto"/>
                <w:spacing w:val="0"/>
                <w:kern w:val="2"/>
                <w:sz w:val="21"/>
                <w:szCs w:val="21"/>
                <w:lang w:val="en-US" w:eastAsia="zh-CN" w:bidi="ar-SA"/>
              </w:rPr>
              <w:t>表 4-</w:t>
            </w:r>
            <w:r>
              <w:rPr>
                <w:rFonts w:hint="eastAsia" w:eastAsia="宋体" w:cs="Times New Roman"/>
                <w:b/>
                <w:color w:val="auto"/>
                <w:spacing w:val="0"/>
                <w:kern w:val="2"/>
                <w:sz w:val="21"/>
                <w:szCs w:val="21"/>
                <w:lang w:val="en-US" w:eastAsia="zh-CN" w:bidi="ar-SA"/>
              </w:rPr>
              <w:t xml:space="preserve">7  </w:t>
            </w:r>
            <w:r>
              <w:rPr>
                <w:rFonts w:hint="default" w:ascii="Times New Roman" w:hAnsi="Times New Roman" w:eastAsia="宋体" w:cs="Times New Roman"/>
                <w:b/>
                <w:color w:val="auto"/>
                <w:spacing w:val="0"/>
                <w:kern w:val="2"/>
                <w:sz w:val="21"/>
                <w:szCs w:val="21"/>
                <w:lang w:val="en-US" w:eastAsia="zh-CN" w:bidi="ar-SA"/>
              </w:rPr>
              <w:t>废水</w:t>
            </w:r>
            <w:r>
              <w:rPr>
                <w:rFonts w:hint="eastAsia" w:ascii="宋体" w:hAnsi="宋体" w:eastAsia="宋体" w:cs="Times New Roman"/>
                <w:b/>
                <w:color w:val="auto"/>
                <w:spacing w:val="0"/>
                <w:kern w:val="2"/>
                <w:sz w:val="21"/>
                <w:szCs w:val="21"/>
                <w:lang w:val="en-US" w:eastAsia="zh-CN" w:bidi="ar-SA"/>
              </w:rPr>
              <w:t>类别、污染物及污染治理设施信息表</w:t>
            </w:r>
          </w:p>
          <w:tbl>
            <w:tblPr>
              <w:tblStyle w:val="19"/>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227"/>
              <w:gridCol w:w="739"/>
              <w:gridCol w:w="564"/>
              <w:gridCol w:w="898"/>
              <w:gridCol w:w="911"/>
              <w:gridCol w:w="1110"/>
              <w:gridCol w:w="731"/>
              <w:gridCol w:w="830"/>
              <w:gridCol w:w="812"/>
            </w:tblGrid>
            <w:tr w14:paraId="2413840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70" w:hRule="atLeast"/>
              </w:trPr>
              <w:tc>
                <w:tcPr>
                  <w:tcW w:w="362" w:type="pct"/>
                  <w:vMerge w:val="restart"/>
                  <w:tcBorders>
                    <w:tl2br w:val="nil"/>
                    <w:tr2bl w:val="nil"/>
                  </w:tcBorders>
                  <w:vAlign w:val="center"/>
                </w:tcPr>
                <w:p w14:paraId="36F5B9B2">
                  <w:pPr>
                    <w:pStyle w:val="82"/>
                    <w:rPr>
                      <w:b/>
                    </w:rPr>
                  </w:pPr>
                  <w:r>
                    <w:rPr>
                      <w:b/>
                    </w:rPr>
                    <w:t>废水类别</w:t>
                  </w:r>
                </w:p>
              </w:tc>
              <w:tc>
                <w:tcPr>
                  <w:tcW w:w="727" w:type="pct"/>
                  <w:vMerge w:val="restart"/>
                  <w:tcBorders>
                    <w:tl2br w:val="nil"/>
                    <w:tr2bl w:val="nil"/>
                  </w:tcBorders>
                  <w:vAlign w:val="center"/>
                </w:tcPr>
                <w:p w14:paraId="35C1EC85">
                  <w:pPr>
                    <w:pStyle w:val="82"/>
                    <w:rPr>
                      <w:b/>
                    </w:rPr>
                  </w:pPr>
                  <w:r>
                    <w:rPr>
                      <w:b/>
                    </w:rPr>
                    <w:t>污染物种类</w:t>
                  </w:r>
                </w:p>
              </w:tc>
              <w:tc>
                <w:tcPr>
                  <w:tcW w:w="438" w:type="pct"/>
                  <w:vMerge w:val="restart"/>
                  <w:tcBorders>
                    <w:tl2br w:val="nil"/>
                    <w:tr2bl w:val="nil"/>
                  </w:tcBorders>
                  <w:vAlign w:val="center"/>
                </w:tcPr>
                <w:p w14:paraId="0FA15913">
                  <w:pPr>
                    <w:pStyle w:val="82"/>
                    <w:rPr>
                      <w:b/>
                    </w:rPr>
                  </w:pPr>
                  <w:r>
                    <w:rPr>
                      <w:b/>
                    </w:rPr>
                    <w:t>排放去向</w:t>
                  </w:r>
                </w:p>
              </w:tc>
              <w:tc>
                <w:tcPr>
                  <w:tcW w:w="334" w:type="pct"/>
                  <w:vMerge w:val="restart"/>
                  <w:tcBorders>
                    <w:tl2br w:val="nil"/>
                    <w:tr2bl w:val="nil"/>
                  </w:tcBorders>
                  <w:vAlign w:val="center"/>
                </w:tcPr>
                <w:p w14:paraId="5EBD1BBE">
                  <w:pPr>
                    <w:pStyle w:val="82"/>
                    <w:rPr>
                      <w:b/>
                    </w:rPr>
                  </w:pPr>
                  <w:r>
                    <w:rPr>
                      <w:b/>
                    </w:rPr>
                    <w:t>排放方式</w:t>
                  </w:r>
                </w:p>
              </w:tc>
              <w:tc>
                <w:tcPr>
                  <w:tcW w:w="1730" w:type="pct"/>
                  <w:gridSpan w:val="3"/>
                  <w:tcBorders>
                    <w:tl2br w:val="nil"/>
                    <w:tr2bl w:val="nil"/>
                  </w:tcBorders>
                  <w:vAlign w:val="center"/>
                </w:tcPr>
                <w:p w14:paraId="4B879A38">
                  <w:pPr>
                    <w:pStyle w:val="82"/>
                    <w:rPr>
                      <w:b/>
                    </w:rPr>
                  </w:pPr>
                  <w:r>
                    <w:rPr>
                      <w:b/>
                    </w:rPr>
                    <w:t>污染治理设施</w:t>
                  </w:r>
                </w:p>
              </w:tc>
              <w:tc>
                <w:tcPr>
                  <w:tcW w:w="433" w:type="pct"/>
                  <w:vMerge w:val="restart"/>
                  <w:tcBorders>
                    <w:tl2br w:val="nil"/>
                    <w:tr2bl w:val="nil"/>
                  </w:tcBorders>
                  <w:vAlign w:val="center"/>
                </w:tcPr>
                <w:p w14:paraId="5F4F73F1">
                  <w:pPr>
                    <w:pStyle w:val="82"/>
                    <w:rPr>
                      <w:b/>
                    </w:rPr>
                  </w:pPr>
                  <w:r>
                    <w:rPr>
                      <w:b/>
                    </w:rPr>
                    <w:t>排放口编号</w:t>
                  </w:r>
                </w:p>
              </w:tc>
              <w:tc>
                <w:tcPr>
                  <w:tcW w:w="492" w:type="pct"/>
                  <w:vMerge w:val="restart"/>
                  <w:tcBorders>
                    <w:tl2br w:val="nil"/>
                    <w:tr2bl w:val="nil"/>
                  </w:tcBorders>
                  <w:vAlign w:val="center"/>
                </w:tcPr>
                <w:p w14:paraId="4F037ADA">
                  <w:pPr>
                    <w:pStyle w:val="82"/>
                    <w:rPr>
                      <w:b/>
                    </w:rPr>
                  </w:pPr>
                  <w:r>
                    <w:rPr>
                      <w:b/>
                    </w:rPr>
                    <w:t>是否为可行技术</w:t>
                  </w:r>
                </w:p>
              </w:tc>
              <w:tc>
                <w:tcPr>
                  <w:tcW w:w="481" w:type="pct"/>
                  <w:vMerge w:val="restart"/>
                  <w:tcBorders>
                    <w:tl2br w:val="nil"/>
                    <w:tr2bl w:val="nil"/>
                  </w:tcBorders>
                  <w:vAlign w:val="center"/>
                </w:tcPr>
                <w:p w14:paraId="19418A9E">
                  <w:pPr>
                    <w:pStyle w:val="82"/>
                    <w:rPr>
                      <w:b/>
                    </w:rPr>
                  </w:pPr>
                  <w:r>
                    <w:rPr>
                      <w:b/>
                    </w:rPr>
                    <w:t>排放口类型</w:t>
                  </w:r>
                </w:p>
              </w:tc>
            </w:tr>
            <w:tr w14:paraId="4B6CC5C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4" w:hRule="atLeast"/>
              </w:trPr>
              <w:tc>
                <w:tcPr>
                  <w:tcW w:w="362" w:type="pct"/>
                  <w:vMerge w:val="continue"/>
                  <w:tcBorders>
                    <w:tl2br w:val="nil"/>
                    <w:tr2bl w:val="nil"/>
                  </w:tcBorders>
                  <w:vAlign w:val="center"/>
                </w:tcPr>
                <w:p w14:paraId="231A59A0">
                  <w:pPr>
                    <w:pStyle w:val="82"/>
                  </w:pPr>
                </w:p>
              </w:tc>
              <w:tc>
                <w:tcPr>
                  <w:tcW w:w="727" w:type="pct"/>
                  <w:vMerge w:val="continue"/>
                  <w:tcBorders>
                    <w:tl2br w:val="nil"/>
                    <w:tr2bl w:val="nil"/>
                  </w:tcBorders>
                  <w:vAlign w:val="center"/>
                </w:tcPr>
                <w:p w14:paraId="4D49BD1F">
                  <w:pPr>
                    <w:pStyle w:val="82"/>
                  </w:pPr>
                </w:p>
              </w:tc>
              <w:tc>
                <w:tcPr>
                  <w:tcW w:w="438" w:type="pct"/>
                  <w:vMerge w:val="continue"/>
                  <w:tcBorders>
                    <w:tl2br w:val="nil"/>
                    <w:tr2bl w:val="nil"/>
                  </w:tcBorders>
                  <w:vAlign w:val="center"/>
                </w:tcPr>
                <w:p w14:paraId="0BEB2CFF">
                  <w:pPr>
                    <w:pStyle w:val="82"/>
                  </w:pPr>
                </w:p>
              </w:tc>
              <w:tc>
                <w:tcPr>
                  <w:tcW w:w="334" w:type="pct"/>
                  <w:vMerge w:val="continue"/>
                  <w:tcBorders>
                    <w:tl2br w:val="nil"/>
                    <w:tr2bl w:val="nil"/>
                  </w:tcBorders>
                  <w:vAlign w:val="center"/>
                </w:tcPr>
                <w:p w14:paraId="5ACD290E">
                  <w:pPr>
                    <w:pStyle w:val="82"/>
                  </w:pPr>
                </w:p>
              </w:tc>
              <w:tc>
                <w:tcPr>
                  <w:tcW w:w="532" w:type="pct"/>
                  <w:tcBorders>
                    <w:tl2br w:val="nil"/>
                    <w:tr2bl w:val="nil"/>
                  </w:tcBorders>
                  <w:vAlign w:val="center"/>
                </w:tcPr>
                <w:p w14:paraId="43AFA544">
                  <w:pPr>
                    <w:pStyle w:val="82"/>
                    <w:rPr>
                      <w:b/>
                    </w:rPr>
                  </w:pPr>
                  <w:r>
                    <w:rPr>
                      <w:b/>
                    </w:rPr>
                    <w:t>污染治理设施编号</w:t>
                  </w:r>
                </w:p>
              </w:tc>
              <w:tc>
                <w:tcPr>
                  <w:tcW w:w="540" w:type="pct"/>
                  <w:tcBorders>
                    <w:tl2br w:val="nil"/>
                    <w:tr2bl w:val="nil"/>
                  </w:tcBorders>
                  <w:vAlign w:val="center"/>
                </w:tcPr>
                <w:p w14:paraId="1E89D87B">
                  <w:pPr>
                    <w:pStyle w:val="82"/>
                    <w:rPr>
                      <w:b/>
                    </w:rPr>
                  </w:pPr>
                  <w:r>
                    <w:rPr>
                      <w:b/>
                    </w:rPr>
                    <w:t>污染治理设施名称</w:t>
                  </w:r>
                </w:p>
              </w:tc>
              <w:tc>
                <w:tcPr>
                  <w:tcW w:w="657" w:type="pct"/>
                  <w:tcBorders>
                    <w:tl2br w:val="nil"/>
                    <w:tr2bl w:val="nil"/>
                  </w:tcBorders>
                  <w:vAlign w:val="center"/>
                </w:tcPr>
                <w:p w14:paraId="18AD89CF">
                  <w:pPr>
                    <w:pStyle w:val="82"/>
                    <w:rPr>
                      <w:b/>
                    </w:rPr>
                  </w:pPr>
                  <w:r>
                    <w:rPr>
                      <w:b/>
                    </w:rPr>
                    <w:t>污染治理设施工艺</w:t>
                  </w:r>
                </w:p>
              </w:tc>
              <w:tc>
                <w:tcPr>
                  <w:tcW w:w="433" w:type="pct"/>
                  <w:vMerge w:val="continue"/>
                  <w:tcBorders>
                    <w:tl2br w:val="nil"/>
                    <w:tr2bl w:val="nil"/>
                  </w:tcBorders>
                  <w:vAlign w:val="center"/>
                </w:tcPr>
                <w:p w14:paraId="22CA7C24">
                  <w:pPr>
                    <w:pStyle w:val="82"/>
                  </w:pPr>
                </w:p>
              </w:tc>
              <w:tc>
                <w:tcPr>
                  <w:tcW w:w="492" w:type="pct"/>
                  <w:vMerge w:val="continue"/>
                  <w:tcBorders>
                    <w:tl2br w:val="nil"/>
                    <w:tr2bl w:val="nil"/>
                  </w:tcBorders>
                  <w:vAlign w:val="center"/>
                </w:tcPr>
                <w:p w14:paraId="0D2B54ED">
                  <w:pPr>
                    <w:pStyle w:val="82"/>
                  </w:pPr>
                </w:p>
              </w:tc>
              <w:tc>
                <w:tcPr>
                  <w:tcW w:w="481" w:type="pct"/>
                  <w:vMerge w:val="continue"/>
                  <w:tcBorders>
                    <w:tl2br w:val="nil"/>
                    <w:tr2bl w:val="nil"/>
                  </w:tcBorders>
                  <w:vAlign w:val="center"/>
                </w:tcPr>
                <w:p w14:paraId="27E60A19">
                  <w:pPr>
                    <w:pStyle w:val="82"/>
                  </w:pPr>
                </w:p>
              </w:tc>
            </w:tr>
            <w:tr w14:paraId="20FACD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362" w:type="pct"/>
                  <w:tcBorders>
                    <w:tl2br w:val="nil"/>
                    <w:tr2bl w:val="nil"/>
                  </w:tcBorders>
                  <w:vAlign w:val="center"/>
                </w:tcPr>
                <w:p w14:paraId="506F498F">
                  <w:pPr>
                    <w:pStyle w:val="82"/>
                  </w:pPr>
                  <w:r>
                    <w:rPr>
                      <w:rFonts w:hint="eastAsia"/>
                    </w:rPr>
                    <w:t>生活</w:t>
                  </w:r>
                  <w:r>
                    <w:t>污水</w:t>
                  </w:r>
                </w:p>
              </w:tc>
              <w:tc>
                <w:tcPr>
                  <w:tcW w:w="727" w:type="pct"/>
                  <w:tcBorders>
                    <w:tl2br w:val="nil"/>
                    <w:tr2bl w:val="nil"/>
                  </w:tcBorders>
                  <w:vAlign w:val="center"/>
                </w:tcPr>
                <w:p w14:paraId="7FD02BD8">
                  <w:pPr>
                    <w:pStyle w:val="82"/>
                  </w:pPr>
                  <w:r>
                    <w:t>COD、</w:t>
                  </w:r>
                  <w:r>
                    <w:rPr>
                      <w:rFonts w:hint="eastAsia"/>
                    </w:rPr>
                    <w:t>S</w:t>
                  </w:r>
                  <w:r>
                    <w:t>S、</w:t>
                  </w:r>
                  <w:r>
                    <w:rPr>
                      <w:rFonts w:hint="eastAsia"/>
                      <w:lang w:val="en-US" w:eastAsia="zh-CN"/>
                    </w:rPr>
                    <w:t>B</w:t>
                  </w:r>
                  <w:r>
                    <w:t>OD</w:t>
                  </w:r>
                  <w:r>
                    <w:rPr>
                      <w:vertAlign w:val="subscript"/>
                    </w:rPr>
                    <w:t>5</w:t>
                  </w:r>
                  <w:r>
                    <w:t>、NH</w:t>
                  </w:r>
                  <w:r>
                    <w:rPr>
                      <w:vertAlign w:val="subscript"/>
                    </w:rPr>
                    <w:t>3</w:t>
                  </w:r>
                  <w:r>
                    <w:t>-N</w:t>
                  </w:r>
                </w:p>
              </w:tc>
              <w:tc>
                <w:tcPr>
                  <w:tcW w:w="438" w:type="pct"/>
                  <w:tcBorders>
                    <w:tl2br w:val="nil"/>
                    <w:tr2bl w:val="nil"/>
                  </w:tcBorders>
                  <w:vAlign w:val="center"/>
                </w:tcPr>
                <w:p w14:paraId="3B1AD0BE">
                  <w:pPr>
                    <w:pStyle w:val="82"/>
                  </w:pPr>
                  <w:r>
                    <w:rPr>
                      <w:rFonts w:hint="eastAsia"/>
                      <w:lang w:eastAsia="zh-CN"/>
                    </w:rPr>
                    <w:t>调兵山城市</w:t>
                  </w:r>
                  <w:r>
                    <w:t>污水处理厂</w:t>
                  </w:r>
                </w:p>
              </w:tc>
              <w:tc>
                <w:tcPr>
                  <w:tcW w:w="334" w:type="pct"/>
                  <w:tcBorders>
                    <w:tl2br w:val="nil"/>
                    <w:tr2bl w:val="nil"/>
                  </w:tcBorders>
                  <w:vAlign w:val="center"/>
                </w:tcPr>
                <w:p w14:paraId="3376F2B8">
                  <w:pPr>
                    <w:pStyle w:val="82"/>
                  </w:pPr>
                  <w:r>
                    <w:t>间接排放</w:t>
                  </w:r>
                </w:p>
              </w:tc>
              <w:tc>
                <w:tcPr>
                  <w:tcW w:w="532" w:type="pct"/>
                  <w:tcBorders>
                    <w:tl2br w:val="nil"/>
                    <w:tr2bl w:val="nil"/>
                  </w:tcBorders>
                  <w:vAlign w:val="center"/>
                </w:tcPr>
                <w:p w14:paraId="21C28985">
                  <w:pPr>
                    <w:pStyle w:val="82"/>
                  </w:pPr>
                  <w:r>
                    <w:t>TW001</w:t>
                  </w:r>
                </w:p>
              </w:tc>
              <w:tc>
                <w:tcPr>
                  <w:tcW w:w="540" w:type="pct"/>
                  <w:tcBorders>
                    <w:tl2br w:val="nil"/>
                    <w:tr2bl w:val="nil"/>
                  </w:tcBorders>
                  <w:vAlign w:val="center"/>
                </w:tcPr>
                <w:p w14:paraId="523A038D">
                  <w:pPr>
                    <w:pStyle w:val="82"/>
                  </w:pPr>
                  <w:r>
                    <w:rPr>
                      <w:rFonts w:hint="eastAsia"/>
                    </w:rPr>
                    <w:t>化粪池</w:t>
                  </w:r>
                </w:p>
              </w:tc>
              <w:tc>
                <w:tcPr>
                  <w:tcW w:w="657" w:type="pct"/>
                  <w:tcBorders>
                    <w:tl2br w:val="nil"/>
                    <w:tr2bl w:val="nil"/>
                  </w:tcBorders>
                  <w:vAlign w:val="center"/>
                </w:tcPr>
                <w:p w14:paraId="2A50F7BE">
                  <w:pPr>
                    <w:pStyle w:val="82"/>
                  </w:pPr>
                  <w:r>
                    <w:rPr>
                      <w:rFonts w:hint="eastAsia"/>
                    </w:rPr>
                    <w:t>沉淀</w:t>
                  </w:r>
                </w:p>
              </w:tc>
              <w:tc>
                <w:tcPr>
                  <w:tcW w:w="433" w:type="pct"/>
                  <w:tcBorders>
                    <w:tl2br w:val="nil"/>
                    <w:tr2bl w:val="nil"/>
                  </w:tcBorders>
                  <w:vAlign w:val="center"/>
                </w:tcPr>
                <w:p w14:paraId="7D2A6C39">
                  <w:pPr>
                    <w:pStyle w:val="82"/>
                  </w:pPr>
                  <w:r>
                    <w:t>DW001</w:t>
                  </w:r>
                </w:p>
              </w:tc>
              <w:tc>
                <w:tcPr>
                  <w:tcW w:w="492" w:type="pct"/>
                  <w:vMerge w:val="restart"/>
                  <w:tcBorders>
                    <w:tl2br w:val="nil"/>
                    <w:tr2bl w:val="nil"/>
                  </w:tcBorders>
                  <w:vAlign w:val="center"/>
                </w:tcPr>
                <w:p w14:paraId="0BBD1B3E">
                  <w:pPr>
                    <w:pStyle w:val="82"/>
                  </w:pPr>
                  <w:r>
                    <w:rPr>
                      <w:rFonts w:hint="eastAsia" w:ascii="MS Gothic" w:hAnsi="MS Gothic" w:eastAsia="MS Gothic" w:cs="MS Gothic"/>
                    </w:rPr>
                    <w:t>☑</w:t>
                  </w:r>
                  <w:r>
                    <w:t>是</w:t>
                  </w:r>
                </w:p>
                <w:p w14:paraId="0CD08131">
                  <w:pPr>
                    <w:pStyle w:val="82"/>
                  </w:pPr>
                  <w:r>
                    <w:t>□否</w:t>
                  </w:r>
                </w:p>
              </w:tc>
              <w:tc>
                <w:tcPr>
                  <w:tcW w:w="481" w:type="pct"/>
                  <w:tcBorders>
                    <w:tl2br w:val="nil"/>
                    <w:tr2bl w:val="nil"/>
                  </w:tcBorders>
                  <w:vAlign w:val="center"/>
                </w:tcPr>
                <w:p w14:paraId="1A39DBEF">
                  <w:pPr>
                    <w:pStyle w:val="82"/>
                  </w:pPr>
                  <w:r>
                    <w:rPr/>
                    <w:sym w:font="Wingdings" w:char="00FE"/>
                  </w:r>
                  <w:r>
                    <w:t>企业总排口</w:t>
                  </w:r>
                </w:p>
              </w:tc>
            </w:tr>
            <w:tr w14:paraId="34E928E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362" w:type="pct"/>
                  <w:tcBorders>
                    <w:tl2br w:val="nil"/>
                    <w:tr2bl w:val="nil"/>
                  </w:tcBorders>
                  <w:vAlign w:val="center"/>
                </w:tcPr>
                <w:p w14:paraId="64932AB8">
                  <w:pPr>
                    <w:pStyle w:val="82"/>
                  </w:pPr>
                  <w:r>
                    <w:rPr>
                      <w:rFonts w:hint="eastAsia"/>
                    </w:rPr>
                    <w:t>生产废水</w:t>
                  </w:r>
                </w:p>
              </w:tc>
              <w:tc>
                <w:tcPr>
                  <w:tcW w:w="727" w:type="pct"/>
                  <w:tcBorders>
                    <w:tl2br w:val="nil"/>
                    <w:tr2bl w:val="nil"/>
                  </w:tcBorders>
                  <w:vAlign w:val="center"/>
                </w:tcPr>
                <w:p w14:paraId="534BA7FC">
                  <w:pPr>
                    <w:pStyle w:val="82"/>
                  </w:pPr>
                  <w:r>
                    <w:rPr>
                      <w:rFonts w:hint="eastAsia"/>
                    </w:rPr>
                    <w:t>COD、SS</w:t>
                  </w:r>
                </w:p>
              </w:tc>
              <w:tc>
                <w:tcPr>
                  <w:tcW w:w="438" w:type="pct"/>
                  <w:tcBorders>
                    <w:tl2br w:val="nil"/>
                    <w:tr2bl w:val="nil"/>
                  </w:tcBorders>
                  <w:vAlign w:val="center"/>
                </w:tcPr>
                <w:p w14:paraId="06B3ACE9">
                  <w:pPr>
                    <w:pStyle w:val="82"/>
                  </w:pPr>
                  <w:r>
                    <w:rPr>
                      <w:rFonts w:hint="eastAsia"/>
                    </w:rPr>
                    <w:t>/</w:t>
                  </w:r>
                </w:p>
              </w:tc>
              <w:tc>
                <w:tcPr>
                  <w:tcW w:w="334" w:type="pct"/>
                  <w:tcBorders>
                    <w:tl2br w:val="nil"/>
                    <w:tr2bl w:val="nil"/>
                  </w:tcBorders>
                  <w:vAlign w:val="center"/>
                </w:tcPr>
                <w:p w14:paraId="126A8C77">
                  <w:pPr>
                    <w:pStyle w:val="82"/>
                    <w:rPr>
                      <w:rFonts w:hint="eastAsia" w:eastAsia="宋体"/>
                      <w:lang w:eastAsia="zh-CN"/>
                    </w:rPr>
                  </w:pPr>
                  <w:r>
                    <w:rPr>
                      <w:rFonts w:hint="eastAsia"/>
                      <w:lang w:eastAsia="zh-CN"/>
                    </w:rPr>
                    <w:t>回用</w:t>
                  </w:r>
                </w:p>
              </w:tc>
              <w:tc>
                <w:tcPr>
                  <w:tcW w:w="532" w:type="pct"/>
                  <w:tcBorders>
                    <w:tl2br w:val="nil"/>
                    <w:tr2bl w:val="nil"/>
                  </w:tcBorders>
                  <w:vAlign w:val="center"/>
                </w:tcPr>
                <w:p w14:paraId="211C0E42">
                  <w:pPr>
                    <w:pStyle w:val="82"/>
                  </w:pPr>
                  <w:r>
                    <w:rPr>
                      <w:rFonts w:hint="eastAsia"/>
                    </w:rPr>
                    <w:t>/</w:t>
                  </w:r>
                </w:p>
              </w:tc>
              <w:tc>
                <w:tcPr>
                  <w:tcW w:w="540" w:type="pct"/>
                  <w:tcBorders>
                    <w:tl2br w:val="nil"/>
                    <w:tr2bl w:val="nil"/>
                  </w:tcBorders>
                  <w:vAlign w:val="center"/>
                </w:tcPr>
                <w:p w14:paraId="675B09CD">
                  <w:pPr>
                    <w:pStyle w:val="82"/>
                    <w:rPr>
                      <w:rFonts w:hint="eastAsia" w:eastAsia="宋体"/>
                      <w:lang w:eastAsia="zh-CN"/>
                    </w:rPr>
                  </w:pPr>
                  <w:r>
                    <w:rPr>
                      <w:rFonts w:hint="eastAsia"/>
                      <w:lang w:eastAsia="zh-CN"/>
                    </w:rPr>
                    <w:t>废水处理设备</w:t>
                  </w:r>
                </w:p>
              </w:tc>
              <w:tc>
                <w:tcPr>
                  <w:tcW w:w="657" w:type="pct"/>
                  <w:tcBorders>
                    <w:tl2br w:val="nil"/>
                    <w:tr2bl w:val="nil"/>
                  </w:tcBorders>
                  <w:vAlign w:val="center"/>
                </w:tcPr>
                <w:p w14:paraId="6BDA208C">
                  <w:pPr>
                    <w:pStyle w:val="82"/>
                  </w:pPr>
                  <w:r>
                    <w:t>沉淀</w:t>
                  </w:r>
                  <w:r>
                    <w:rPr>
                      <w:rFonts w:hint="eastAsia"/>
                      <w:lang w:val="en-US" w:eastAsia="zh-CN"/>
                    </w:rPr>
                    <w:t>-絮凝-压滤</w:t>
                  </w:r>
                </w:p>
              </w:tc>
              <w:tc>
                <w:tcPr>
                  <w:tcW w:w="433" w:type="pct"/>
                  <w:tcBorders>
                    <w:tl2br w:val="nil"/>
                    <w:tr2bl w:val="nil"/>
                  </w:tcBorders>
                  <w:vAlign w:val="center"/>
                </w:tcPr>
                <w:p w14:paraId="238EA89A">
                  <w:pPr>
                    <w:pStyle w:val="82"/>
                  </w:pPr>
                  <w:r>
                    <w:rPr>
                      <w:rFonts w:hint="eastAsia"/>
                    </w:rPr>
                    <w:t>/</w:t>
                  </w:r>
                </w:p>
              </w:tc>
              <w:tc>
                <w:tcPr>
                  <w:tcW w:w="492" w:type="pct"/>
                  <w:vMerge w:val="continue"/>
                  <w:tcBorders>
                    <w:tl2br w:val="nil"/>
                    <w:tr2bl w:val="nil"/>
                  </w:tcBorders>
                  <w:vAlign w:val="center"/>
                </w:tcPr>
                <w:p w14:paraId="2311D574">
                  <w:pPr>
                    <w:pStyle w:val="82"/>
                    <w:rPr>
                      <w:rFonts w:ascii="MS Gothic" w:hAnsi="MS Gothic" w:eastAsia="MS Gothic" w:cs="MS Gothic"/>
                    </w:rPr>
                  </w:pPr>
                </w:p>
              </w:tc>
              <w:tc>
                <w:tcPr>
                  <w:tcW w:w="481" w:type="pct"/>
                  <w:tcBorders>
                    <w:tl2br w:val="nil"/>
                    <w:tr2bl w:val="nil"/>
                  </w:tcBorders>
                  <w:vAlign w:val="center"/>
                </w:tcPr>
                <w:p w14:paraId="7EE7E28E">
                  <w:pPr>
                    <w:pStyle w:val="82"/>
                  </w:pPr>
                  <w:r>
                    <w:rPr>
                      <w:rFonts w:hint="eastAsia"/>
                    </w:rPr>
                    <w:t>/</w:t>
                  </w:r>
                </w:p>
              </w:tc>
            </w:tr>
          </w:tbl>
          <w:p w14:paraId="774CD558">
            <w:pPr>
              <w:pStyle w:val="34"/>
              <w:keepNext w:val="0"/>
              <w:keepLines w:val="0"/>
              <w:pageBreakBefore w:val="0"/>
              <w:widowControl w:val="0"/>
              <w:tabs>
                <w:tab w:val="center" w:pos="4153"/>
                <w:tab w:val="right" w:pos="8306"/>
                <w:tab w:val="clear" w:pos="1571"/>
              </w:tabs>
              <w:kinsoku/>
              <w:wordWrap/>
              <w:overflowPunct/>
              <w:topLinePunct w:val="0"/>
              <w:autoSpaceDE/>
              <w:autoSpaceDN/>
              <w:bidi w:val="0"/>
              <w:adjustRightInd w:val="0"/>
              <w:snapToGrid w:val="0"/>
              <w:spacing w:line="360" w:lineRule="auto"/>
              <w:ind w:left="0"/>
              <w:jc w:val="center"/>
              <w:textAlignment w:val="auto"/>
              <w:rPr>
                <w:rFonts w:hint="eastAsia" w:ascii="Times New Roman" w:hAnsi="Times New Roman" w:eastAsia="宋体" w:cs="Times New Roman"/>
                <w:b/>
                <w:color w:val="auto"/>
                <w:spacing w:val="0"/>
                <w:kern w:val="2"/>
                <w:sz w:val="21"/>
                <w:szCs w:val="21"/>
                <w:lang w:val="en-US" w:eastAsia="zh-CN" w:bidi="ar-SA"/>
              </w:rPr>
            </w:pPr>
            <w:r>
              <w:rPr>
                <w:rFonts w:hint="eastAsia" w:ascii="Times New Roman" w:hAnsi="Times New Roman" w:eastAsia="宋体" w:cs="Times New Roman"/>
                <w:b/>
                <w:color w:val="auto"/>
                <w:spacing w:val="0"/>
                <w:kern w:val="2"/>
                <w:sz w:val="21"/>
                <w:szCs w:val="21"/>
                <w:lang w:val="en-US" w:eastAsia="zh-CN" w:bidi="ar-SA"/>
              </w:rPr>
              <w:t>表4-</w:t>
            </w:r>
            <w:r>
              <w:rPr>
                <w:rFonts w:hint="eastAsia" w:eastAsia="宋体" w:cs="Times New Roman"/>
                <w:b/>
                <w:color w:val="auto"/>
                <w:spacing w:val="0"/>
                <w:kern w:val="2"/>
                <w:sz w:val="21"/>
                <w:szCs w:val="21"/>
                <w:lang w:val="en-US" w:eastAsia="zh-CN" w:bidi="ar-SA"/>
              </w:rPr>
              <w:t>8</w:t>
            </w:r>
            <w:r>
              <w:rPr>
                <w:rFonts w:hint="eastAsia" w:ascii="Times New Roman" w:hAnsi="Times New Roman" w:eastAsia="宋体" w:cs="Times New Roman"/>
                <w:b/>
                <w:color w:val="auto"/>
                <w:spacing w:val="0"/>
                <w:kern w:val="2"/>
                <w:sz w:val="21"/>
                <w:szCs w:val="21"/>
                <w:lang w:val="en-US" w:eastAsia="zh-CN" w:bidi="ar-SA"/>
              </w:rPr>
              <w:t xml:space="preserve">   废水间接排放口基本情况表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9"/>
              <w:gridCol w:w="832"/>
              <w:gridCol w:w="1389"/>
              <w:gridCol w:w="1288"/>
              <w:gridCol w:w="927"/>
              <w:gridCol w:w="1312"/>
              <w:gridCol w:w="733"/>
              <w:gridCol w:w="680"/>
            </w:tblGrid>
            <w:tr w14:paraId="13851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46" w:type="pct"/>
                  <w:vMerge w:val="restart"/>
                  <w:tcBorders>
                    <w:tl2br w:val="nil"/>
                    <w:tr2bl w:val="nil"/>
                  </w:tcBorders>
                  <w:noWrap w:val="0"/>
                  <w:vAlign w:val="center"/>
                </w:tcPr>
                <w:p w14:paraId="0260DE23">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序号</w:t>
                  </w:r>
                </w:p>
              </w:tc>
              <w:tc>
                <w:tcPr>
                  <w:tcW w:w="509" w:type="pct"/>
                  <w:vMerge w:val="restart"/>
                  <w:tcBorders>
                    <w:tl2br w:val="nil"/>
                    <w:tr2bl w:val="nil"/>
                  </w:tcBorders>
                  <w:noWrap w:val="0"/>
                  <w:vAlign w:val="center"/>
                </w:tcPr>
                <w:p w14:paraId="1243446D">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排放口编号</w:t>
                  </w:r>
                </w:p>
              </w:tc>
              <w:tc>
                <w:tcPr>
                  <w:tcW w:w="493" w:type="pct"/>
                  <w:vMerge w:val="restart"/>
                  <w:tcBorders>
                    <w:tl2br w:val="nil"/>
                    <w:tr2bl w:val="nil"/>
                  </w:tcBorders>
                  <w:noWrap w:val="0"/>
                  <w:vAlign w:val="center"/>
                </w:tcPr>
                <w:p w14:paraId="41CB763C">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排放口名称</w:t>
                  </w:r>
                </w:p>
              </w:tc>
              <w:tc>
                <w:tcPr>
                  <w:tcW w:w="1586" w:type="pct"/>
                  <w:gridSpan w:val="2"/>
                  <w:tcBorders>
                    <w:tl2br w:val="nil"/>
                    <w:tr2bl w:val="nil"/>
                  </w:tcBorders>
                  <w:noWrap w:val="0"/>
                  <w:vAlign w:val="center"/>
                </w:tcPr>
                <w:p w14:paraId="1A3C36E5">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r>
                    <w:rPr>
                      <w:rFonts w:hint="eastAsia" w:ascii="Times New Roman" w:hAnsi="Times New Roman" w:eastAsia="宋体" w:cs="Times New Roman"/>
                      <w:b w:val="0"/>
                      <w:bCs w:val="0"/>
                      <w:color w:val="auto"/>
                      <w:sz w:val="21"/>
                      <w:szCs w:val="21"/>
                      <w:highlight w:val="none"/>
                      <w:vertAlign w:val="baseline"/>
                      <w:lang w:eastAsia="zh-CN"/>
                    </w:rPr>
                    <w:t>排放口地理坐标</w:t>
                  </w:r>
                </w:p>
              </w:tc>
              <w:tc>
                <w:tcPr>
                  <w:tcW w:w="549" w:type="pct"/>
                  <w:vMerge w:val="restart"/>
                  <w:tcBorders>
                    <w:tl2br w:val="nil"/>
                    <w:tr2bl w:val="nil"/>
                  </w:tcBorders>
                  <w:noWrap w:val="0"/>
                  <w:vAlign w:val="center"/>
                </w:tcPr>
                <w:p w14:paraId="32011462">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类型</w:t>
                  </w:r>
                </w:p>
              </w:tc>
              <w:tc>
                <w:tcPr>
                  <w:tcW w:w="777" w:type="pct"/>
                  <w:vMerge w:val="restart"/>
                  <w:tcBorders>
                    <w:tl2br w:val="nil"/>
                    <w:tr2bl w:val="nil"/>
                  </w:tcBorders>
                  <w:noWrap w:val="0"/>
                  <w:vAlign w:val="center"/>
                </w:tcPr>
                <w:p w14:paraId="072DE746">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eastAsia="zh-CN"/>
                    </w:rPr>
                    <w:t>排放规律</w:t>
                  </w:r>
                </w:p>
              </w:tc>
              <w:tc>
                <w:tcPr>
                  <w:tcW w:w="837" w:type="pct"/>
                  <w:gridSpan w:val="2"/>
                  <w:vMerge w:val="restart"/>
                  <w:tcBorders>
                    <w:tl2br w:val="nil"/>
                    <w:tr2bl w:val="nil"/>
                  </w:tcBorders>
                  <w:noWrap w:val="0"/>
                  <w:vAlign w:val="center"/>
                </w:tcPr>
                <w:p w14:paraId="0D52C8A5">
                  <w:pPr>
                    <w:keepNext w:val="0"/>
                    <w:keepLines w:val="0"/>
                    <w:widowControl/>
                    <w:suppressLineNumbers w:val="0"/>
                    <w:jc w:val="center"/>
                    <w:rPr>
                      <w:rFonts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kern w:val="0"/>
                      <w:sz w:val="21"/>
                      <w:szCs w:val="21"/>
                      <w:highlight w:val="none"/>
                      <w:lang w:val="en-US" w:eastAsia="zh-CN" w:bidi="ar"/>
                    </w:rPr>
                    <w:t xml:space="preserve">排放标准 </w:t>
                  </w:r>
                  <w:r>
                    <w:rPr>
                      <w:rFonts w:hint="default" w:ascii="Times New Roman" w:hAnsi="Times New Roman" w:eastAsia="宋体" w:cs="Times New Roman"/>
                      <w:b w:val="0"/>
                      <w:bCs w:val="0"/>
                      <w:color w:val="auto"/>
                      <w:kern w:val="0"/>
                      <w:sz w:val="21"/>
                      <w:szCs w:val="21"/>
                      <w:highlight w:val="none"/>
                      <w:lang w:val="en-US" w:eastAsia="zh-CN" w:bidi="ar"/>
                    </w:rPr>
                    <w:t>mg/L</w:t>
                  </w:r>
                </w:p>
                <w:p w14:paraId="6D930646">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r>
            <w:tr w14:paraId="4A1105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46" w:type="pct"/>
                  <w:vMerge w:val="continue"/>
                  <w:tcBorders>
                    <w:tl2br w:val="nil"/>
                    <w:tr2bl w:val="nil"/>
                  </w:tcBorders>
                  <w:noWrap w:val="0"/>
                  <w:vAlign w:val="center"/>
                </w:tcPr>
                <w:p w14:paraId="2747CF16">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509" w:type="pct"/>
                  <w:vMerge w:val="continue"/>
                  <w:tcBorders>
                    <w:tl2br w:val="nil"/>
                    <w:tr2bl w:val="nil"/>
                  </w:tcBorders>
                  <w:noWrap w:val="0"/>
                  <w:vAlign w:val="center"/>
                </w:tcPr>
                <w:p w14:paraId="087E61F1">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493" w:type="pct"/>
                  <w:vMerge w:val="continue"/>
                  <w:tcBorders>
                    <w:tl2br w:val="nil"/>
                    <w:tr2bl w:val="nil"/>
                  </w:tcBorders>
                  <w:noWrap w:val="0"/>
                  <w:vAlign w:val="center"/>
                </w:tcPr>
                <w:p w14:paraId="4612789A">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823" w:type="pct"/>
                  <w:tcBorders>
                    <w:tl2br w:val="nil"/>
                    <w:tr2bl w:val="nil"/>
                  </w:tcBorders>
                  <w:noWrap w:val="0"/>
                  <w:vAlign w:val="center"/>
                </w:tcPr>
                <w:p w14:paraId="05F568C7">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经度</w:t>
                  </w:r>
                </w:p>
              </w:tc>
              <w:tc>
                <w:tcPr>
                  <w:tcW w:w="762" w:type="pct"/>
                  <w:tcBorders>
                    <w:tl2br w:val="nil"/>
                    <w:tr2bl w:val="nil"/>
                  </w:tcBorders>
                  <w:noWrap w:val="0"/>
                  <w:vAlign w:val="center"/>
                </w:tcPr>
                <w:p w14:paraId="40BE497D">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纬度</w:t>
                  </w:r>
                </w:p>
              </w:tc>
              <w:tc>
                <w:tcPr>
                  <w:tcW w:w="549" w:type="pct"/>
                  <w:vMerge w:val="continue"/>
                  <w:tcBorders>
                    <w:tl2br w:val="nil"/>
                    <w:tr2bl w:val="nil"/>
                  </w:tcBorders>
                  <w:noWrap w:val="0"/>
                  <w:vAlign w:val="center"/>
                </w:tcPr>
                <w:p w14:paraId="10F2A068">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p>
              </w:tc>
              <w:tc>
                <w:tcPr>
                  <w:tcW w:w="777" w:type="pct"/>
                  <w:vMerge w:val="continue"/>
                  <w:tcBorders>
                    <w:tl2br w:val="nil"/>
                    <w:tr2bl w:val="nil"/>
                  </w:tcBorders>
                  <w:noWrap w:val="0"/>
                  <w:vAlign w:val="center"/>
                </w:tcPr>
                <w:p w14:paraId="0535479A">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p>
              </w:tc>
              <w:tc>
                <w:tcPr>
                  <w:tcW w:w="837" w:type="pct"/>
                  <w:gridSpan w:val="2"/>
                  <w:vMerge w:val="continue"/>
                  <w:tcBorders>
                    <w:tl2br w:val="nil"/>
                    <w:tr2bl w:val="nil"/>
                  </w:tcBorders>
                  <w:noWrap w:val="0"/>
                  <w:vAlign w:val="center"/>
                </w:tcPr>
                <w:p w14:paraId="15AF0BC1">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p>
              </w:tc>
            </w:tr>
            <w:tr w14:paraId="2162BD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46" w:type="pct"/>
                  <w:vMerge w:val="restart"/>
                  <w:tcBorders>
                    <w:tl2br w:val="nil"/>
                    <w:tr2bl w:val="nil"/>
                  </w:tcBorders>
                  <w:noWrap w:val="0"/>
                  <w:vAlign w:val="center"/>
                </w:tcPr>
                <w:p w14:paraId="4665C807">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w:t>
                  </w:r>
                </w:p>
              </w:tc>
              <w:tc>
                <w:tcPr>
                  <w:tcW w:w="509" w:type="pct"/>
                  <w:vMerge w:val="restart"/>
                  <w:tcBorders>
                    <w:tl2br w:val="nil"/>
                    <w:tr2bl w:val="nil"/>
                  </w:tcBorders>
                  <w:noWrap w:val="0"/>
                  <w:vAlign w:val="center"/>
                </w:tcPr>
                <w:p w14:paraId="211A03DF">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kern w:val="0"/>
                      <w:sz w:val="21"/>
                      <w:szCs w:val="21"/>
                      <w:highlight w:val="none"/>
                      <w:lang w:val="en-US" w:eastAsia="zh-CN" w:bidi="ar"/>
                    </w:rPr>
                    <w:t>DW001</w:t>
                  </w:r>
                </w:p>
              </w:tc>
              <w:tc>
                <w:tcPr>
                  <w:tcW w:w="493" w:type="pct"/>
                  <w:vMerge w:val="restart"/>
                  <w:tcBorders>
                    <w:tl2br w:val="nil"/>
                    <w:tr2bl w:val="nil"/>
                  </w:tcBorders>
                  <w:noWrap w:val="0"/>
                  <w:vAlign w:val="center"/>
                </w:tcPr>
                <w:p w14:paraId="0C525474">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cs="Times New Roman"/>
                      <w:b w:val="0"/>
                      <w:bCs w:val="0"/>
                      <w:color w:val="auto"/>
                      <w:sz w:val="21"/>
                      <w:szCs w:val="21"/>
                      <w:highlight w:val="none"/>
                      <w:vertAlign w:val="baseline"/>
                      <w:lang w:eastAsia="zh-CN"/>
                    </w:rPr>
                    <w:t>生活</w:t>
                  </w:r>
                  <w:r>
                    <w:rPr>
                      <w:rFonts w:hint="eastAsia" w:ascii="Times New Roman" w:hAnsi="Times New Roman" w:eastAsia="宋体" w:cs="Times New Roman"/>
                      <w:b w:val="0"/>
                      <w:bCs w:val="0"/>
                      <w:color w:val="auto"/>
                      <w:sz w:val="21"/>
                      <w:szCs w:val="21"/>
                      <w:highlight w:val="none"/>
                      <w:vertAlign w:val="baseline"/>
                      <w:lang w:eastAsia="zh-CN"/>
                    </w:rPr>
                    <w:t>污水排口</w:t>
                  </w:r>
                </w:p>
              </w:tc>
              <w:tc>
                <w:tcPr>
                  <w:tcW w:w="823" w:type="pct"/>
                  <w:vMerge w:val="restart"/>
                  <w:tcBorders>
                    <w:tl2br w:val="nil"/>
                    <w:tr2bl w:val="nil"/>
                  </w:tcBorders>
                  <w:noWrap w:val="0"/>
                  <w:vAlign w:val="center"/>
                </w:tcPr>
                <w:p w14:paraId="39B4BF50">
                  <w:pPr>
                    <w:keepNext w:val="0"/>
                    <w:keepLines w:val="0"/>
                    <w:widowControl/>
                    <w:suppressLineNumbers w:val="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123.55572779</w:t>
                  </w:r>
                </w:p>
              </w:tc>
              <w:tc>
                <w:tcPr>
                  <w:tcW w:w="762" w:type="pct"/>
                  <w:vMerge w:val="restart"/>
                  <w:tcBorders>
                    <w:tl2br w:val="nil"/>
                    <w:tr2bl w:val="nil"/>
                  </w:tcBorders>
                  <w:noWrap w:val="0"/>
                  <w:vAlign w:val="center"/>
                </w:tcPr>
                <w:p w14:paraId="601D8993">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42.41973817</w:t>
                  </w:r>
                </w:p>
              </w:tc>
              <w:tc>
                <w:tcPr>
                  <w:tcW w:w="549" w:type="pct"/>
                  <w:vMerge w:val="restart"/>
                  <w:tcBorders>
                    <w:tl2br w:val="nil"/>
                    <w:tr2bl w:val="nil"/>
                  </w:tcBorders>
                  <w:noWrap w:val="0"/>
                  <w:vAlign w:val="center"/>
                </w:tcPr>
                <w:p w14:paraId="2DC407F2">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一般排放口</w:t>
                  </w:r>
                </w:p>
              </w:tc>
              <w:tc>
                <w:tcPr>
                  <w:tcW w:w="777" w:type="pct"/>
                  <w:vMerge w:val="restart"/>
                  <w:tcBorders>
                    <w:tl2br w:val="nil"/>
                    <w:tr2bl w:val="nil"/>
                  </w:tcBorders>
                  <w:noWrap w:val="0"/>
                  <w:vAlign w:val="center"/>
                </w:tcPr>
                <w:p w14:paraId="3591D097">
                  <w:pPr>
                    <w:keepNext w:val="0"/>
                    <w:keepLines w:val="0"/>
                    <w:widowControl/>
                    <w:suppressLineNumbers w:val="0"/>
                    <w:jc w:val="center"/>
                    <w:rPr>
                      <w:rFonts w:hint="eastAsia" w:ascii="Times New Roman" w:hAnsi="Times New Roman" w:eastAsia="宋体" w:cs="Times New Roman"/>
                      <w:b w:val="0"/>
                      <w:bCs w:val="0"/>
                      <w:color w:val="auto"/>
                      <w:sz w:val="21"/>
                      <w:szCs w:val="21"/>
                      <w:highlight w:val="none"/>
                      <w:vertAlign w:val="baseline"/>
                      <w:lang w:eastAsia="zh-CN"/>
                    </w:rPr>
                  </w:pPr>
                  <w:r>
                    <w:rPr>
                      <w:rFonts w:hint="eastAsia" w:ascii="Times New Roman" w:hAnsi="Times New Roman" w:eastAsia="宋体" w:cs="Times New Roman"/>
                      <w:b w:val="0"/>
                      <w:bCs w:val="0"/>
                      <w:color w:val="auto"/>
                      <w:sz w:val="21"/>
                      <w:szCs w:val="21"/>
                      <w:highlight w:val="none"/>
                      <w:vertAlign w:val="baseline"/>
                      <w:lang w:eastAsia="zh-CN"/>
                    </w:rPr>
                    <w:t>间接排放，间断不连续排放</w:t>
                  </w:r>
                </w:p>
              </w:tc>
              <w:tc>
                <w:tcPr>
                  <w:tcW w:w="434" w:type="pct"/>
                  <w:tcBorders>
                    <w:tl2br w:val="nil"/>
                    <w:tr2bl w:val="nil"/>
                  </w:tcBorders>
                  <w:noWrap w:val="0"/>
                  <w:vAlign w:val="center"/>
                </w:tcPr>
                <w:p w14:paraId="014CFE4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ascii="Times New Roman" w:hAnsi="Times New Roman" w:eastAsia="宋体"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highlight w:val="none"/>
                      <w:vertAlign w:val="baseline"/>
                      <w:lang w:val="en-US" w:eastAsia="zh-CN"/>
                    </w:rPr>
                    <w:t>COD</w:t>
                  </w:r>
                </w:p>
              </w:tc>
              <w:tc>
                <w:tcPr>
                  <w:tcW w:w="403" w:type="pct"/>
                  <w:tcBorders>
                    <w:tl2br w:val="nil"/>
                    <w:tr2bl w:val="nil"/>
                  </w:tcBorders>
                  <w:noWrap w:val="0"/>
                  <w:vAlign w:val="center"/>
                </w:tcPr>
                <w:p w14:paraId="64EC6BF4">
                  <w:pPr>
                    <w:pStyle w:val="34"/>
                    <w:keepNext w:val="0"/>
                    <w:keepLines w:val="0"/>
                    <w:pageBreakBefore w:val="0"/>
                    <w:tabs>
                      <w:tab w:val="left" w:pos="551"/>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r>
            <w:tr w14:paraId="4A6439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46" w:type="pct"/>
                  <w:vMerge w:val="continue"/>
                  <w:tcBorders>
                    <w:tl2br w:val="nil"/>
                    <w:tr2bl w:val="nil"/>
                  </w:tcBorders>
                  <w:noWrap w:val="0"/>
                  <w:vAlign w:val="center"/>
                </w:tcPr>
                <w:p w14:paraId="15F1224A">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509" w:type="pct"/>
                  <w:vMerge w:val="continue"/>
                  <w:tcBorders>
                    <w:tl2br w:val="nil"/>
                    <w:tr2bl w:val="nil"/>
                  </w:tcBorders>
                  <w:noWrap w:val="0"/>
                  <w:vAlign w:val="center"/>
                </w:tcPr>
                <w:p w14:paraId="2465A4EC">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493" w:type="pct"/>
                  <w:vMerge w:val="continue"/>
                  <w:tcBorders>
                    <w:tl2br w:val="nil"/>
                    <w:tr2bl w:val="nil"/>
                  </w:tcBorders>
                  <w:noWrap w:val="0"/>
                  <w:vAlign w:val="center"/>
                </w:tcPr>
                <w:p w14:paraId="476A51E9">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823" w:type="pct"/>
                  <w:vMerge w:val="continue"/>
                  <w:tcBorders>
                    <w:tl2br w:val="nil"/>
                    <w:tr2bl w:val="nil"/>
                  </w:tcBorders>
                  <w:noWrap w:val="0"/>
                  <w:vAlign w:val="center"/>
                </w:tcPr>
                <w:p w14:paraId="3C50F360">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762" w:type="pct"/>
                  <w:vMerge w:val="continue"/>
                  <w:tcBorders>
                    <w:tl2br w:val="nil"/>
                    <w:tr2bl w:val="nil"/>
                  </w:tcBorders>
                  <w:noWrap w:val="0"/>
                  <w:vAlign w:val="center"/>
                </w:tcPr>
                <w:p w14:paraId="1EE706A2">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549" w:type="pct"/>
                  <w:vMerge w:val="continue"/>
                  <w:tcBorders>
                    <w:tl2br w:val="nil"/>
                    <w:tr2bl w:val="nil"/>
                  </w:tcBorders>
                  <w:noWrap w:val="0"/>
                  <w:vAlign w:val="center"/>
                </w:tcPr>
                <w:p w14:paraId="066C76F7">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777" w:type="pct"/>
                  <w:vMerge w:val="continue"/>
                  <w:tcBorders>
                    <w:tl2br w:val="nil"/>
                    <w:tr2bl w:val="nil"/>
                  </w:tcBorders>
                  <w:noWrap w:val="0"/>
                  <w:vAlign w:val="center"/>
                </w:tcPr>
                <w:p w14:paraId="2A526EA0">
                  <w:pPr>
                    <w:keepNext w:val="0"/>
                    <w:keepLines w:val="0"/>
                    <w:widowControl/>
                    <w:suppressLineNumbers w:val="0"/>
                    <w:jc w:val="center"/>
                    <w:rPr>
                      <w:rFonts w:ascii="Times New Roman" w:hAnsi="Times New Roman" w:eastAsia="宋体" w:cs="Times New Roman"/>
                      <w:b w:val="0"/>
                      <w:bCs w:val="0"/>
                      <w:color w:val="auto"/>
                      <w:sz w:val="21"/>
                      <w:szCs w:val="21"/>
                      <w:highlight w:val="none"/>
                    </w:rPr>
                  </w:pPr>
                </w:p>
              </w:tc>
              <w:tc>
                <w:tcPr>
                  <w:tcW w:w="434" w:type="pct"/>
                  <w:tcBorders>
                    <w:tl2br w:val="nil"/>
                    <w:tr2bl w:val="nil"/>
                  </w:tcBorders>
                  <w:noWrap w:val="0"/>
                  <w:vAlign w:val="center"/>
                </w:tcPr>
                <w:p w14:paraId="0CCB2D10">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氨氮</w:t>
                  </w:r>
                </w:p>
              </w:tc>
              <w:tc>
                <w:tcPr>
                  <w:tcW w:w="403" w:type="pct"/>
                  <w:tcBorders>
                    <w:tl2br w:val="nil"/>
                    <w:tr2bl w:val="nil"/>
                  </w:tcBorders>
                  <w:noWrap w:val="0"/>
                  <w:vAlign w:val="center"/>
                </w:tcPr>
                <w:p w14:paraId="50709A1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w:t>
                  </w:r>
                </w:p>
              </w:tc>
            </w:tr>
            <w:tr w14:paraId="29B38F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46" w:type="pct"/>
                  <w:vMerge w:val="continue"/>
                  <w:tcBorders>
                    <w:tl2br w:val="nil"/>
                    <w:tr2bl w:val="nil"/>
                  </w:tcBorders>
                  <w:noWrap w:val="0"/>
                  <w:vAlign w:val="center"/>
                </w:tcPr>
                <w:p w14:paraId="0688A8B7">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509" w:type="pct"/>
                  <w:vMerge w:val="continue"/>
                  <w:tcBorders>
                    <w:tl2br w:val="nil"/>
                    <w:tr2bl w:val="nil"/>
                  </w:tcBorders>
                  <w:noWrap w:val="0"/>
                  <w:vAlign w:val="center"/>
                </w:tcPr>
                <w:p w14:paraId="3914B2D9">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493" w:type="pct"/>
                  <w:vMerge w:val="continue"/>
                  <w:tcBorders>
                    <w:tl2br w:val="nil"/>
                    <w:tr2bl w:val="nil"/>
                  </w:tcBorders>
                  <w:noWrap w:val="0"/>
                  <w:vAlign w:val="center"/>
                </w:tcPr>
                <w:p w14:paraId="56DE9775">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823" w:type="pct"/>
                  <w:vMerge w:val="continue"/>
                  <w:tcBorders>
                    <w:tl2br w:val="nil"/>
                    <w:tr2bl w:val="nil"/>
                  </w:tcBorders>
                  <w:noWrap w:val="0"/>
                  <w:vAlign w:val="center"/>
                </w:tcPr>
                <w:p w14:paraId="6831E725">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762" w:type="pct"/>
                  <w:vMerge w:val="continue"/>
                  <w:tcBorders>
                    <w:tl2br w:val="nil"/>
                    <w:tr2bl w:val="nil"/>
                  </w:tcBorders>
                  <w:noWrap w:val="0"/>
                  <w:vAlign w:val="center"/>
                </w:tcPr>
                <w:p w14:paraId="65E08396">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549" w:type="pct"/>
                  <w:vMerge w:val="continue"/>
                  <w:tcBorders>
                    <w:tl2br w:val="nil"/>
                    <w:tr2bl w:val="nil"/>
                  </w:tcBorders>
                  <w:noWrap w:val="0"/>
                  <w:vAlign w:val="center"/>
                </w:tcPr>
                <w:p w14:paraId="46AF67DE">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777" w:type="pct"/>
                  <w:vMerge w:val="continue"/>
                  <w:tcBorders>
                    <w:tl2br w:val="nil"/>
                    <w:tr2bl w:val="nil"/>
                  </w:tcBorders>
                  <w:noWrap w:val="0"/>
                  <w:vAlign w:val="center"/>
                </w:tcPr>
                <w:p w14:paraId="07733E85">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434" w:type="pct"/>
                  <w:tcBorders>
                    <w:tl2br w:val="nil"/>
                    <w:tr2bl w:val="nil"/>
                  </w:tcBorders>
                  <w:noWrap w:val="0"/>
                  <w:vAlign w:val="center"/>
                </w:tcPr>
                <w:p w14:paraId="0757DB03">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SS</w:t>
                  </w:r>
                </w:p>
              </w:tc>
              <w:tc>
                <w:tcPr>
                  <w:tcW w:w="403" w:type="pct"/>
                  <w:tcBorders>
                    <w:tl2br w:val="nil"/>
                    <w:tr2bl w:val="nil"/>
                  </w:tcBorders>
                  <w:noWrap w:val="0"/>
                  <w:vAlign w:val="center"/>
                </w:tcPr>
                <w:p w14:paraId="52102C29">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300</w:t>
                  </w:r>
                </w:p>
              </w:tc>
            </w:tr>
            <w:tr w14:paraId="658593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46" w:type="pct"/>
                  <w:vMerge w:val="continue"/>
                  <w:tcBorders>
                    <w:tl2br w:val="nil"/>
                    <w:tr2bl w:val="nil"/>
                  </w:tcBorders>
                  <w:noWrap w:val="0"/>
                  <w:vAlign w:val="center"/>
                </w:tcPr>
                <w:p w14:paraId="703E2F51">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509" w:type="pct"/>
                  <w:vMerge w:val="continue"/>
                  <w:tcBorders>
                    <w:tl2br w:val="nil"/>
                    <w:tr2bl w:val="nil"/>
                  </w:tcBorders>
                  <w:noWrap w:val="0"/>
                  <w:vAlign w:val="center"/>
                </w:tcPr>
                <w:p w14:paraId="19A278DB">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493" w:type="pct"/>
                  <w:vMerge w:val="continue"/>
                  <w:tcBorders>
                    <w:tl2br w:val="nil"/>
                    <w:tr2bl w:val="nil"/>
                  </w:tcBorders>
                  <w:noWrap w:val="0"/>
                  <w:vAlign w:val="center"/>
                </w:tcPr>
                <w:p w14:paraId="4FED7667">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823" w:type="pct"/>
                  <w:vMerge w:val="continue"/>
                  <w:tcBorders>
                    <w:tl2br w:val="nil"/>
                    <w:tr2bl w:val="nil"/>
                  </w:tcBorders>
                  <w:noWrap w:val="0"/>
                  <w:vAlign w:val="center"/>
                </w:tcPr>
                <w:p w14:paraId="6D036BB5">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762" w:type="pct"/>
                  <w:vMerge w:val="continue"/>
                  <w:tcBorders>
                    <w:tl2br w:val="nil"/>
                    <w:tr2bl w:val="nil"/>
                  </w:tcBorders>
                  <w:noWrap w:val="0"/>
                  <w:vAlign w:val="center"/>
                </w:tcPr>
                <w:p w14:paraId="7024ED9D">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549" w:type="pct"/>
                  <w:vMerge w:val="continue"/>
                  <w:tcBorders>
                    <w:tl2br w:val="nil"/>
                    <w:tr2bl w:val="nil"/>
                  </w:tcBorders>
                  <w:noWrap w:val="0"/>
                  <w:vAlign w:val="center"/>
                </w:tcPr>
                <w:p w14:paraId="00ED934A">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777" w:type="pct"/>
                  <w:vMerge w:val="continue"/>
                  <w:tcBorders>
                    <w:tl2br w:val="nil"/>
                    <w:tr2bl w:val="nil"/>
                  </w:tcBorders>
                  <w:noWrap w:val="0"/>
                  <w:vAlign w:val="center"/>
                </w:tcPr>
                <w:p w14:paraId="48F7599C">
                  <w:pPr>
                    <w:keepNext w:val="0"/>
                    <w:keepLines w:val="0"/>
                    <w:widowControl/>
                    <w:suppressLineNumbers w:val="0"/>
                    <w:jc w:val="center"/>
                    <w:rPr>
                      <w:rFonts w:ascii="Times New Roman" w:hAnsi="Times New Roman" w:eastAsia="宋体" w:cs="Times New Roman"/>
                      <w:b w:val="0"/>
                      <w:bCs w:val="0"/>
                      <w:color w:val="auto"/>
                      <w:sz w:val="21"/>
                      <w:szCs w:val="21"/>
                      <w:highlight w:val="none"/>
                      <w:vertAlign w:val="baseline"/>
                    </w:rPr>
                  </w:pPr>
                </w:p>
              </w:tc>
              <w:tc>
                <w:tcPr>
                  <w:tcW w:w="434" w:type="pct"/>
                  <w:tcBorders>
                    <w:tl2br w:val="nil"/>
                    <w:tr2bl w:val="nil"/>
                  </w:tcBorders>
                  <w:noWrap w:val="0"/>
                  <w:vAlign w:val="center"/>
                </w:tcPr>
                <w:p w14:paraId="705743DC">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BOD</w:t>
                  </w:r>
                </w:p>
              </w:tc>
              <w:tc>
                <w:tcPr>
                  <w:tcW w:w="403" w:type="pct"/>
                  <w:tcBorders>
                    <w:tl2br w:val="nil"/>
                    <w:tr2bl w:val="nil"/>
                  </w:tcBorders>
                  <w:noWrap w:val="0"/>
                  <w:vAlign w:val="center"/>
                </w:tcPr>
                <w:p w14:paraId="2EE746F7">
                  <w:pPr>
                    <w:pStyle w:val="34"/>
                    <w:keepNext w:val="0"/>
                    <w:keepLines w:val="0"/>
                    <w:pageBreakBefore w:val="0"/>
                    <w:tabs>
                      <w:tab w:val="center" w:pos="4153"/>
                      <w:tab w:val="right" w:pos="8306"/>
                      <w:tab w:val="clear" w:pos="1571"/>
                    </w:tabs>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eastAsia="宋体" w:cs="Times New Roman"/>
                      <w:b w:val="0"/>
                      <w:bCs w:val="0"/>
                      <w:color w:val="auto"/>
                      <w:sz w:val="21"/>
                      <w:szCs w:val="21"/>
                      <w:highlight w:val="none"/>
                      <w:vertAlign w:val="baseline"/>
                      <w:lang w:val="en-US" w:eastAsia="zh-CN"/>
                    </w:rPr>
                    <w:t>4</w:t>
                  </w:r>
                  <w:r>
                    <w:rPr>
                      <w:rFonts w:hint="default" w:ascii="Times New Roman" w:hAnsi="Times New Roman" w:eastAsia="宋体" w:cs="Times New Roman"/>
                      <w:b w:val="0"/>
                      <w:bCs w:val="0"/>
                      <w:color w:val="auto"/>
                      <w:sz w:val="21"/>
                      <w:szCs w:val="21"/>
                      <w:highlight w:val="none"/>
                      <w:vertAlign w:val="baseline"/>
                      <w:lang w:val="en-US" w:eastAsia="zh-CN"/>
                    </w:rPr>
                    <w:t>0</w:t>
                  </w:r>
                </w:p>
              </w:tc>
            </w:tr>
          </w:tbl>
          <w:p w14:paraId="5E738D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lang w:eastAsia="zh-CN"/>
              </w:rPr>
              <w:t>）废水监测要求</w:t>
            </w:r>
          </w:p>
          <w:p w14:paraId="0F8F21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bCs/>
                <w:color w:val="auto"/>
                <w:sz w:val="24"/>
                <w:szCs w:val="24"/>
              </w:rPr>
            </w:pPr>
            <w:r>
              <w:rPr>
                <w:rFonts w:hint="eastAsia" w:eastAsia="宋体"/>
                <w:color w:val="auto"/>
                <w:sz w:val="24"/>
                <w:szCs w:val="24"/>
                <w:highlight w:val="none"/>
              </w:rPr>
              <w:t>项目</w:t>
            </w:r>
            <w:r>
              <w:rPr>
                <w:rFonts w:hint="eastAsia" w:eastAsia="宋体"/>
                <w:color w:val="auto"/>
                <w:sz w:val="24"/>
                <w:szCs w:val="24"/>
                <w:highlight w:val="none"/>
                <w:lang w:val="en-US" w:eastAsia="zh-CN"/>
              </w:rPr>
              <w:t>打磨废水、清洗废水经厂区废水处理设施处理后循环使用，不外排。</w:t>
            </w:r>
            <w:r>
              <w:rPr>
                <w:rFonts w:hint="eastAsia" w:ascii="宋体" w:hAnsi="宋体" w:cs="宋体"/>
                <w:bCs/>
                <w:color w:val="auto"/>
                <w:sz w:val="24"/>
                <w:szCs w:val="24"/>
                <w:lang w:eastAsia="zh-CN"/>
              </w:rPr>
              <w:t>项目</w:t>
            </w:r>
            <w:r>
              <w:rPr>
                <w:rFonts w:hint="default" w:ascii="Times New Roman" w:hAnsi="Times New Roman" w:eastAsia="宋体" w:cs="Times New Roman"/>
                <w:b w:val="0"/>
                <w:bCs w:val="0"/>
                <w:color w:val="auto"/>
                <w:sz w:val="24"/>
                <w:szCs w:val="24"/>
                <w:vertAlign w:val="baseline"/>
                <w:lang w:val="en-US" w:eastAsia="zh-CN"/>
              </w:rPr>
              <w:t>生活污水经</w:t>
            </w:r>
            <w:r>
              <w:rPr>
                <w:rFonts w:hint="eastAsia" w:cs="Times New Roman"/>
                <w:b w:val="0"/>
                <w:bCs w:val="0"/>
                <w:color w:val="auto"/>
                <w:sz w:val="24"/>
                <w:szCs w:val="24"/>
                <w:vertAlign w:val="baseline"/>
                <w:lang w:val="en-US" w:eastAsia="zh-CN"/>
              </w:rPr>
              <w:t>厂区现有化粪池</w:t>
            </w:r>
            <w:r>
              <w:rPr>
                <w:rFonts w:hint="default" w:ascii="Times New Roman" w:hAnsi="Times New Roman" w:eastAsia="宋体" w:cs="Times New Roman"/>
                <w:b w:val="0"/>
                <w:bCs w:val="0"/>
                <w:color w:val="auto"/>
                <w:sz w:val="24"/>
                <w:szCs w:val="24"/>
                <w:vertAlign w:val="baseline"/>
                <w:lang w:val="en-US" w:eastAsia="zh-CN"/>
              </w:rPr>
              <w:t>预处理后</w:t>
            </w:r>
            <w:r>
              <w:rPr>
                <w:rFonts w:hint="eastAsia" w:cs="Times New Roman"/>
                <w:b w:val="0"/>
                <w:bCs w:val="0"/>
                <w:color w:val="auto"/>
                <w:sz w:val="24"/>
                <w:szCs w:val="24"/>
                <w:vertAlign w:val="baseline"/>
                <w:lang w:val="en-US" w:eastAsia="zh-CN"/>
              </w:rPr>
              <w:t>经污水管网</w:t>
            </w:r>
            <w:r>
              <w:rPr>
                <w:rFonts w:hint="default" w:ascii="Times New Roman" w:hAnsi="Times New Roman" w:eastAsia="宋体" w:cs="Times New Roman"/>
                <w:b w:val="0"/>
                <w:bCs w:val="0"/>
                <w:color w:val="auto"/>
                <w:sz w:val="24"/>
                <w:szCs w:val="24"/>
                <w:vertAlign w:val="baseline"/>
                <w:lang w:val="en-US" w:eastAsia="zh-CN"/>
              </w:rPr>
              <w:t>排入</w:t>
            </w:r>
            <w:r>
              <w:rPr>
                <w:rFonts w:hint="eastAsia" w:cs="Times New Roman"/>
                <w:b w:val="0"/>
                <w:bCs w:val="0"/>
                <w:color w:val="auto"/>
                <w:sz w:val="24"/>
                <w:szCs w:val="24"/>
                <w:vertAlign w:val="baseline"/>
                <w:lang w:val="en-US" w:eastAsia="zh-CN"/>
              </w:rPr>
              <w:t>调兵山城市</w:t>
            </w:r>
            <w:r>
              <w:rPr>
                <w:rFonts w:hint="default" w:ascii="Times New Roman" w:hAnsi="Times New Roman" w:eastAsia="宋体" w:cs="Times New Roman"/>
                <w:b w:val="0"/>
                <w:bCs w:val="0"/>
                <w:color w:val="auto"/>
                <w:sz w:val="24"/>
                <w:szCs w:val="24"/>
                <w:vertAlign w:val="baseline"/>
                <w:lang w:val="en-US" w:eastAsia="zh-CN"/>
              </w:rPr>
              <w:t>污水处理厂</w:t>
            </w:r>
            <w:r>
              <w:rPr>
                <w:rFonts w:hint="eastAsia" w:cs="Times New Roman"/>
                <w:b w:val="0"/>
                <w:bCs w:val="0"/>
                <w:color w:val="auto"/>
                <w:sz w:val="24"/>
                <w:szCs w:val="24"/>
                <w:vertAlign w:val="baseline"/>
                <w:lang w:val="en-US" w:eastAsia="zh-CN"/>
              </w:rPr>
              <w:t>处理达标排放</w:t>
            </w:r>
            <w:r>
              <w:rPr>
                <w:rFonts w:hint="eastAsia" w:ascii="Times New Roman" w:hAnsi="Times New Roman"/>
                <w:bCs/>
                <w:color w:val="auto"/>
                <w:sz w:val="24"/>
                <w:szCs w:val="24"/>
              </w:rPr>
              <w:t>。</w:t>
            </w:r>
          </w:p>
          <w:p w14:paraId="0D25EC4E">
            <w:pPr>
              <w:pStyle w:val="84"/>
            </w:pPr>
            <w:r>
              <w:rPr>
                <w:rFonts w:hint="eastAsia"/>
              </w:rPr>
              <w:t>表4-8   废水监测计划表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85"/>
              <w:gridCol w:w="1245"/>
              <w:gridCol w:w="1611"/>
              <w:gridCol w:w="3579"/>
            </w:tblGrid>
            <w:tr w14:paraId="4FA593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pct"/>
                  <w:tcBorders>
                    <w:tl2br w:val="nil"/>
                    <w:tr2bl w:val="nil"/>
                  </w:tcBorders>
                  <w:vAlign w:val="center"/>
                </w:tcPr>
                <w:p w14:paraId="672ED6B5">
                  <w:pPr>
                    <w:pStyle w:val="82"/>
                    <w:rPr>
                      <w:b/>
                      <w:sz w:val="21"/>
                      <w:szCs w:val="21"/>
                    </w:rPr>
                  </w:pPr>
                  <w:r>
                    <w:rPr>
                      <w:rFonts w:hint="eastAsia"/>
                      <w:b/>
                      <w:sz w:val="21"/>
                      <w:szCs w:val="21"/>
                    </w:rPr>
                    <w:t>环境要素</w:t>
                  </w:r>
                </w:p>
              </w:tc>
              <w:tc>
                <w:tcPr>
                  <w:tcW w:w="643" w:type="pct"/>
                  <w:tcBorders>
                    <w:tl2br w:val="nil"/>
                    <w:tr2bl w:val="nil"/>
                  </w:tcBorders>
                  <w:vAlign w:val="center"/>
                </w:tcPr>
                <w:p w14:paraId="76E78F1B">
                  <w:pPr>
                    <w:pStyle w:val="82"/>
                    <w:rPr>
                      <w:b/>
                      <w:sz w:val="21"/>
                      <w:szCs w:val="21"/>
                    </w:rPr>
                  </w:pPr>
                  <w:r>
                    <w:rPr>
                      <w:rFonts w:hint="eastAsia"/>
                      <w:b/>
                      <w:sz w:val="21"/>
                      <w:szCs w:val="21"/>
                    </w:rPr>
                    <w:t>监测点位</w:t>
                  </w:r>
                </w:p>
              </w:tc>
              <w:tc>
                <w:tcPr>
                  <w:tcW w:w="738" w:type="pct"/>
                  <w:tcBorders>
                    <w:tl2br w:val="nil"/>
                    <w:tr2bl w:val="nil"/>
                  </w:tcBorders>
                  <w:vAlign w:val="center"/>
                </w:tcPr>
                <w:p w14:paraId="33EC08FE">
                  <w:pPr>
                    <w:pStyle w:val="82"/>
                    <w:rPr>
                      <w:b/>
                      <w:sz w:val="21"/>
                      <w:szCs w:val="21"/>
                    </w:rPr>
                  </w:pPr>
                  <w:r>
                    <w:rPr>
                      <w:rFonts w:hint="eastAsia"/>
                      <w:b/>
                      <w:sz w:val="21"/>
                      <w:szCs w:val="21"/>
                    </w:rPr>
                    <w:t>监测指标</w:t>
                  </w:r>
                </w:p>
              </w:tc>
              <w:tc>
                <w:tcPr>
                  <w:tcW w:w="955" w:type="pct"/>
                  <w:tcBorders>
                    <w:tl2br w:val="nil"/>
                    <w:tr2bl w:val="nil"/>
                  </w:tcBorders>
                  <w:vAlign w:val="center"/>
                </w:tcPr>
                <w:p w14:paraId="3EF30DB0">
                  <w:pPr>
                    <w:pStyle w:val="82"/>
                    <w:rPr>
                      <w:b/>
                      <w:sz w:val="21"/>
                      <w:szCs w:val="21"/>
                    </w:rPr>
                  </w:pPr>
                  <w:r>
                    <w:rPr>
                      <w:rFonts w:hint="eastAsia"/>
                      <w:b/>
                      <w:sz w:val="21"/>
                      <w:szCs w:val="21"/>
                    </w:rPr>
                    <w:t>监测频次</w:t>
                  </w:r>
                </w:p>
              </w:tc>
              <w:tc>
                <w:tcPr>
                  <w:tcW w:w="2121" w:type="pct"/>
                  <w:tcBorders>
                    <w:tl2br w:val="nil"/>
                    <w:tr2bl w:val="nil"/>
                  </w:tcBorders>
                  <w:vAlign w:val="center"/>
                </w:tcPr>
                <w:p w14:paraId="40026A7B">
                  <w:pPr>
                    <w:pStyle w:val="82"/>
                    <w:rPr>
                      <w:b/>
                      <w:sz w:val="21"/>
                      <w:szCs w:val="21"/>
                    </w:rPr>
                  </w:pPr>
                  <w:r>
                    <w:rPr>
                      <w:rFonts w:hint="eastAsia"/>
                      <w:b/>
                      <w:sz w:val="21"/>
                      <w:szCs w:val="21"/>
                    </w:rPr>
                    <w:t>执行标准</w:t>
                  </w:r>
                </w:p>
              </w:tc>
            </w:tr>
            <w:tr w14:paraId="77634C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42" w:type="pct"/>
                  <w:tcBorders>
                    <w:tl2br w:val="nil"/>
                    <w:tr2bl w:val="nil"/>
                  </w:tcBorders>
                  <w:vAlign w:val="center"/>
                </w:tcPr>
                <w:p w14:paraId="7967B3E9">
                  <w:pPr>
                    <w:pStyle w:val="82"/>
                    <w:rPr>
                      <w:sz w:val="21"/>
                      <w:szCs w:val="21"/>
                    </w:rPr>
                  </w:pPr>
                  <w:r>
                    <w:rPr>
                      <w:rFonts w:hint="eastAsia"/>
                      <w:sz w:val="21"/>
                      <w:szCs w:val="21"/>
                    </w:rPr>
                    <w:t>废水</w:t>
                  </w:r>
                </w:p>
              </w:tc>
              <w:tc>
                <w:tcPr>
                  <w:tcW w:w="643" w:type="pct"/>
                  <w:tcBorders>
                    <w:tl2br w:val="nil"/>
                    <w:tr2bl w:val="nil"/>
                  </w:tcBorders>
                  <w:vAlign w:val="center"/>
                </w:tcPr>
                <w:p w14:paraId="7C11253A">
                  <w:pPr>
                    <w:pStyle w:val="82"/>
                    <w:rPr>
                      <w:sz w:val="21"/>
                      <w:szCs w:val="21"/>
                    </w:rPr>
                  </w:pPr>
                  <w:r>
                    <w:rPr>
                      <w:rFonts w:hint="eastAsia" w:cs="Times New Roman"/>
                      <w:b w:val="0"/>
                      <w:bCs w:val="0"/>
                      <w:color w:val="auto"/>
                      <w:sz w:val="21"/>
                      <w:szCs w:val="21"/>
                      <w:highlight w:val="none"/>
                      <w:vertAlign w:val="baseline"/>
                      <w:lang w:eastAsia="zh-CN"/>
                    </w:rPr>
                    <w:t>生活</w:t>
                  </w:r>
                  <w:r>
                    <w:rPr>
                      <w:rFonts w:hint="eastAsia" w:ascii="Times New Roman" w:hAnsi="Times New Roman" w:eastAsia="宋体" w:cs="Times New Roman"/>
                      <w:b w:val="0"/>
                      <w:bCs w:val="0"/>
                      <w:color w:val="auto"/>
                      <w:sz w:val="21"/>
                      <w:szCs w:val="21"/>
                      <w:highlight w:val="none"/>
                      <w:vertAlign w:val="baseline"/>
                      <w:lang w:eastAsia="zh-CN"/>
                    </w:rPr>
                    <w:t>污水排口</w:t>
                  </w:r>
                </w:p>
              </w:tc>
              <w:tc>
                <w:tcPr>
                  <w:tcW w:w="738" w:type="pct"/>
                  <w:tcBorders>
                    <w:tl2br w:val="nil"/>
                    <w:tr2bl w:val="nil"/>
                  </w:tcBorders>
                  <w:vAlign w:val="center"/>
                </w:tcPr>
                <w:p w14:paraId="396C9C6E">
                  <w:pPr>
                    <w:pStyle w:val="82"/>
                    <w:rPr>
                      <w:sz w:val="21"/>
                      <w:szCs w:val="21"/>
                    </w:rPr>
                  </w:pPr>
                  <w:r>
                    <w:rPr>
                      <w:rFonts w:hint="eastAsia"/>
                      <w:sz w:val="21"/>
                      <w:szCs w:val="21"/>
                    </w:rPr>
                    <w:t>COD、BOD</w:t>
                  </w:r>
                  <w:r>
                    <w:rPr>
                      <w:rFonts w:hint="eastAsia"/>
                      <w:sz w:val="21"/>
                      <w:szCs w:val="21"/>
                      <w:vertAlign w:val="subscript"/>
                    </w:rPr>
                    <w:t>5</w:t>
                  </w:r>
                  <w:r>
                    <w:rPr>
                      <w:rFonts w:hint="eastAsia"/>
                      <w:sz w:val="21"/>
                      <w:szCs w:val="21"/>
                    </w:rPr>
                    <w:t>、SS、氨氮</w:t>
                  </w:r>
                </w:p>
              </w:tc>
              <w:tc>
                <w:tcPr>
                  <w:tcW w:w="955" w:type="pct"/>
                  <w:tcBorders>
                    <w:tl2br w:val="nil"/>
                    <w:tr2bl w:val="nil"/>
                  </w:tcBorders>
                  <w:vAlign w:val="center"/>
                </w:tcPr>
                <w:p w14:paraId="1D622E01">
                  <w:pPr>
                    <w:pStyle w:val="82"/>
                    <w:rPr>
                      <w:sz w:val="21"/>
                      <w:szCs w:val="21"/>
                    </w:rPr>
                  </w:pPr>
                  <w:r>
                    <w:rPr>
                      <w:rFonts w:hint="eastAsia"/>
                      <w:sz w:val="21"/>
                      <w:szCs w:val="21"/>
                    </w:rPr>
                    <w:t>每年一次（委托有资质监测单位）</w:t>
                  </w:r>
                </w:p>
              </w:tc>
              <w:tc>
                <w:tcPr>
                  <w:tcW w:w="2121" w:type="pct"/>
                  <w:tcBorders>
                    <w:tl2br w:val="nil"/>
                    <w:tr2bl w:val="nil"/>
                  </w:tcBorders>
                  <w:vAlign w:val="center"/>
                </w:tcPr>
                <w:p w14:paraId="7C9E4B9E">
                  <w:pPr>
                    <w:pStyle w:val="82"/>
                    <w:rPr>
                      <w:rFonts w:hint="eastAsia" w:eastAsia="宋体"/>
                      <w:sz w:val="21"/>
                      <w:szCs w:val="21"/>
                      <w:lang w:eastAsia="zh-CN"/>
                    </w:rPr>
                  </w:pPr>
                  <w:r>
                    <w:rPr>
                      <w:rFonts w:hint="eastAsia"/>
                      <w:sz w:val="21"/>
                      <w:szCs w:val="21"/>
                    </w:rPr>
                    <w:t>《辽宁省污水综合排放标准》（DB21/1267-2008）表2排入污水处理厂污染物最高允许排放浓度</w:t>
                  </w:r>
                  <w:r>
                    <w:rPr>
                      <w:rFonts w:hint="eastAsia"/>
                      <w:sz w:val="21"/>
                      <w:szCs w:val="21"/>
                      <w:lang w:eastAsia="zh-CN"/>
                    </w:rPr>
                    <w:t>以及</w:t>
                  </w:r>
                  <w:r>
                    <w:rPr>
                      <w:rFonts w:hint="eastAsia" w:cs="Times New Roman"/>
                      <w:color w:val="auto"/>
                      <w:sz w:val="21"/>
                      <w:szCs w:val="21"/>
                      <w:lang w:eastAsia="zh-CN"/>
                    </w:rPr>
                    <w:t>调兵山城市污水处理厂的接管标准</w:t>
                  </w:r>
                </w:p>
              </w:tc>
            </w:tr>
          </w:tbl>
          <w:p w14:paraId="1E9A63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5</w:t>
            </w:r>
            <w:r>
              <w:rPr>
                <w:rFonts w:hint="default" w:ascii="Times New Roman" w:hAnsi="Times New Roman" w:eastAsia="宋体" w:cs="Times New Roman"/>
                <w:bCs/>
                <w:color w:val="auto"/>
                <w:sz w:val="24"/>
                <w:szCs w:val="24"/>
                <w:lang w:eastAsia="zh-CN"/>
              </w:rPr>
              <w:t>）废水达标排放可行性分析</w:t>
            </w:r>
          </w:p>
          <w:p w14:paraId="0B6D57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打磨废水、清洗废水经厂区废水处理设施处理后循环使用，不外排</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rPr>
              <w:t>产生的废水主要是生活污水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经</w:t>
            </w:r>
            <w:r>
              <w:rPr>
                <w:rFonts w:hint="default" w:ascii="Times New Roman" w:hAnsi="Times New Roman" w:cs="Times New Roman"/>
                <w:color w:val="auto"/>
                <w:sz w:val="24"/>
                <w:szCs w:val="24"/>
                <w:lang w:eastAsia="zh-CN"/>
              </w:rPr>
              <w:t>厂区现有化粪池</w:t>
            </w:r>
            <w:r>
              <w:rPr>
                <w:rFonts w:hint="default" w:ascii="Times New Roman" w:hAnsi="Times New Roman" w:eastAsia="宋体" w:cs="Times New Roman"/>
                <w:color w:val="auto"/>
                <w:sz w:val="24"/>
                <w:szCs w:val="24"/>
              </w:rPr>
              <w:t>处理后，</w:t>
            </w:r>
            <w:r>
              <w:rPr>
                <w:rFonts w:hint="default" w:ascii="Times New Roman" w:hAnsi="Times New Roman" w:cs="Times New Roman"/>
                <w:color w:val="auto"/>
                <w:sz w:val="24"/>
                <w:szCs w:val="24"/>
                <w:lang w:eastAsia="zh-CN"/>
              </w:rPr>
              <w:t>排入调兵山城市污水处理厂</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eastAsia="zh-CN"/>
              </w:rPr>
              <w:t>调兵山城市污水处理厂采用</w:t>
            </w:r>
            <w:r>
              <w:rPr>
                <w:rFonts w:hint="default" w:ascii="Times New Roman" w:hAnsi="Times New Roman" w:cs="Times New Roman"/>
                <w:color w:val="auto"/>
                <w:sz w:val="24"/>
                <w:szCs w:val="24"/>
                <w:lang w:val="en-US" w:eastAsia="zh-CN"/>
              </w:rPr>
              <w:t>A2/O工艺，排水水质满足《城镇污水处理厂污染物排放标准》（GB 18918-2002）一级A标准。污水处理厂设计规模3</w:t>
            </w:r>
            <w:r>
              <w:rPr>
                <w:rFonts w:hint="eastAsia" w:cs="Times New Roman"/>
                <w:color w:val="auto"/>
                <w:sz w:val="24"/>
                <w:szCs w:val="24"/>
                <w:lang w:val="en-US" w:eastAsia="zh-CN"/>
              </w:rPr>
              <w:t>0000</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/d，现阶段处理规模平均267</w:t>
            </w:r>
            <w:r>
              <w:rPr>
                <w:rFonts w:hint="eastAsia" w:cs="Times New Roman"/>
                <w:color w:val="auto"/>
                <w:sz w:val="24"/>
                <w:szCs w:val="24"/>
                <w:lang w:val="en-US" w:eastAsia="zh-CN"/>
              </w:rPr>
              <w:t>00</w:t>
            </w:r>
            <w:r>
              <w:rPr>
                <w:rFonts w:hint="default" w:ascii="Times New Roman" w:hAnsi="Times New Roman" w:cs="Times New Roman"/>
                <w:color w:val="auto"/>
                <w:sz w:val="24"/>
                <w:szCs w:val="24"/>
                <w:lang w:val="en-US" w:eastAsia="zh-CN"/>
              </w:rPr>
              <w:t>万m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/d，本项目排水0.9m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/d，排水量很小，不会对污水处理厂造成冲击。</w:t>
            </w:r>
            <w:r>
              <w:rPr>
                <w:rFonts w:hint="default" w:ascii="Times New Roman" w:hAnsi="Times New Roman" w:eastAsia="宋体" w:cs="Times New Roman"/>
                <w:color w:val="auto"/>
                <w:sz w:val="24"/>
              </w:rPr>
              <w:t>本项目生活污水经</w:t>
            </w:r>
            <w:r>
              <w:rPr>
                <w:rFonts w:hint="eastAsia" w:cs="Times New Roman"/>
                <w:color w:val="auto"/>
                <w:sz w:val="24"/>
                <w:lang w:eastAsia="zh-CN"/>
              </w:rPr>
              <w:t>化粪池</w:t>
            </w:r>
            <w:r>
              <w:rPr>
                <w:rFonts w:hint="default" w:ascii="Times New Roman" w:hAnsi="Times New Roman" w:eastAsia="宋体" w:cs="Times New Roman"/>
                <w:color w:val="auto"/>
                <w:sz w:val="24"/>
              </w:rPr>
              <w:t>预处理后，</w:t>
            </w:r>
            <w:r>
              <w:rPr>
                <w:rFonts w:hint="eastAsia" w:cs="Times New Roman"/>
                <w:color w:val="auto"/>
                <w:sz w:val="24"/>
                <w:lang w:eastAsia="zh-CN"/>
              </w:rPr>
              <w:t>满足</w:t>
            </w:r>
            <w:r>
              <w:rPr>
                <w:rFonts w:hint="default" w:ascii="Times New Roman" w:hAnsi="Times New Roman" w:eastAsia="宋体" w:cs="Times New Roman"/>
                <w:color w:val="auto"/>
                <w:sz w:val="24"/>
              </w:rPr>
              <w:t>《辽宁省污水综合排放标准》（DB21/1267-2008）表2排入污水处理厂污染物最高允许排放浓度</w:t>
            </w:r>
            <w:r>
              <w:rPr>
                <w:rFonts w:hint="eastAsia" w:cs="Times New Roman"/>
                <w:color w:val="auto"/>
                <w:sz w:val="24"/>
                <w:lang w:eastAsia="zh-CN"/>
              </w:rPr>
              <w:t>以及调兵山城市污水处理厂的接管要求，</w:t>
            </w:r>
            <w:r>
              <w:rPr>
                <w:rFonts w:hint="default" w:ascii="Times New Roman" w:hAnsi="Times New Roman" w:eastAsia="宋体" w:cs="Times New Roman"/>
                <w:color w:val="auto"/>
                <w:sz w:val="24"/>
              </w:rPr>
              <w:t>接管进入</w:t>
            </w:r>
            <w:r>
              <w:rPr>
                <w:rFonts w:hint="default" w:ascii="Times New Roman" w:hAnsi="Times New Roman" w:cs="Times New Roman"/>
                <w:color w:val="auto"/>
                <w:sz w:val="24"/>
                <w:szCs w:val="24"/>
                <w:lang w:eastAsia="zh-CN"/>
              </w:rPr>
              <w:t>调兵山城市污水处理厂</w:t>
            </w:r>
            <w:r>
              <w:rPr>
                <w:rFonts w:hint="default" w:ascii="Times New Roman" w:hAnsi="Times New Roman" w:eastAsia="宋体" w:cs="Times New Roman"/>
                <w:color w:val="auto"/>
                <w:sz w:val="24"/>
              </w:rPr>
              <w:t>是可行的</w:t>
            </w:r>
            <w:r>
              <w:rPr>
                <w:rFonts w:hint="default" w:ascii="Times New Roman" w:hAnsi="Times New Roman" w:cs="Times New Roman"/>
                <w:color w:val="auto"/>
                <w:sz w:val="24"/>
                <w:szCs w:val="24"/>
                <w:vertAlign w:val="baseline"/>
                <w:lang w:eastAsia="zh-CN"/>
              </w:rPr>
              <w:t>。</w:t>
            </w:r>
          </w:p>
          <w:p w14:paraId="4E2AE0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3、噪声</w:t>
            </w:r>
          </w:p>
          <w:p w14:paraId="2831AC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（1）噪声源强</w:t>
            </w:r>
          </w:p>
          <w:p w14:paraId="57B427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本项目在生产过程中，噪声主要来源于</w:t>
            </w:r>
            <w:r>
              <w:rPr>
                <w:rFonts w:hint="default" w:ascii="Times New Roman" w:hAnsi="Times New Roman" w:cs="Times New Roman"/>
                <w:color w:val="auto"/>
                <w:sz w:val="24"/>
                <w:szCs w:val="24"/>
                <w:lang w:val="en-US" w:eastAsia="zh-CN"/>
              </w:rPr>
              <w:t>清洗机、铝条自动折弯机、涂胶机</w:t>
            </w:r>
            <w:r>
              <w:rPr>
                <w:rFonts w:hint="eastAsia" w:cs="Times New Roman"/>
                <w:color w:val="auto"/>
                <w:sz w:val="24"/>
                <w:szCs w:val="24"/>
                <w:lang w:val="en-US" w:eastAsia="zh-CN"/>
              </w:rPr>
              <w:t>、切割机、打磨机、钢化炉及风机等</w:t>
            </w:r>
            <w:r>
              <w:rPr>
                <w:rFonts w:hint="default" w:ascii="Times New Roman" w:hAnsi="Times New Roman" w:eastAsia="宋体" w:cs="Times New Roman"/>
                <w:color w:val="auto"/>
                <w:sz w:val="24"/>
                <w:szCs w:val="24"/>
              </w:rPr>
              <w:t>生产设备的机械摩擦、机械振动</w:t>
            </w:r>
            <w:r>
              <w:rPr>
                <w:rFonts w:hint="eastAsia" w:cs="Times New Roman"/>
                <w:color w:val="auto"/>
                <w:sz w:val="24"/>
                <w:szCs w:val="24"/>
                <w:lang w:val="en-US" w:eastAsia="zh-CN"/>
              </w:rPr>
              <w:t>时</w:t>
            </w:r>
            <w:r>
              <w:rPr>
                <w:rFonts w:hint="default" w:ascii="Times New Roman" w:hAnsi="Times New Roman" w:eastAsia="宋体" w:cs="Times New Roman"/>
                <w:color w:val="auto"/>
                <w:sz w:val="24"/>
                <w:szCs w:val="24"/>
              </w:rPr>
              <w:t>所产生的机械噪声，噪声源强约在</w:t>
            </w:r>
            <w:r>
              <w:rPr>
                <w:rFonts w:hint="eastAsia" w:cs="Times New Roman"/>
                <w:color w:val="auto"/>
                <w:sz w:val="24"/>
                <w:szCs w:val="24"/>
                <w:lang w:val="en-US" w:eastAsia="zh-CN"/>
              </w:rPr>
              <w:t>75</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85</w:t>
            </w:r>
            <w:r>
              <w:rPr>
                <w:rFonts w:hint="default" w:ascii="Times New Roman" w:hAnsi="Times New Roman" w:eastAsia="宋体" w:cs="Times New Roman"/>
                <w:color w:val="auto"/>
                <w:sz w:val="24"/>
                <w:szCs w:val="24"/>
              </w:rPr>
              <w:t>dB（A），对高噪声设备安装减震垫，采取防振降噪措施，降低生产噪声对周围环境的影响。类比同类项目，项目主要生产设备的噪声源强见下表。</w:t>
            </w:r>
          </w:p>
          <w:p w14:paraId="0F42F3E4">
            <w:pPr>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5</w:t>
            </w:r>
            <w:r>
              <w:rPr>
                <w:rFonts w:hint="eastAsia"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主要设备噪声源强一览表</w:t>
            </w:r>
          </w:p>
          <w:tbl>
            <w:tblPr>
              <w:tblStyle w:val="19"/>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66"/>
              <w:gridCol w:w="1073"/>
              <w:gridCol w:w="611"/>
              <w:gridCol w:w="980"/>
              <w:gridCol w:w="808"/>
              <w:gridCol w:w="704"/>
              <w:gridCol w:w="980"/>
              <w:gridCol w:w="635"/>
              <w:gridCol w:w="646"/>
              <w:gridCol w:w="652"/>
              <w:gridCol w:w="475"/>
            </w:tblGrid>
            <w:tr w14:paraId="6FD3C2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36" w:hRule="atLeast"/>
                <w:jc w:val="center"/>
              </w:trPr>
              <w:tc>
                <w:tcPr>
                  <w:tcW w:w="513" w:type="pct"/>
                  <w:vMerge w:val="restart"/>
                  <w:noWrap w:val="0"/>
                  <w:vAlign w:val="center"/>
                </w:tcPr>
                <w:p w14:paraId="0690B35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主要设备</w:t>
                  </w:r>
                </w:p>
              </w:tc>
              <w:tc>
                <w:tcPr>
                  <w:tcW w:w="636" w:type="pct"/>
                  <w:vMerge w:val="restart"/>
                  <w:noWrap w:val="0"/>
                  <w:vAlign w:val="center"/>
                </w:tcPr>
                <w:p w14:paraId="7A52F3C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源强</w:t>
                  </w:r>
                </w:p>
                <w:p w14:paraId="3B1FE2A8">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声功率级（dB（A））</w:t>
                  </w:r>
                </w:p>
              </w:tc>
              <w:tc>
                <w:tcPr>
                  <w:tcW w:w="362" w:type="pct"/>
                  <w:vMerge w:val="restart"/>
                  <w:noWrap w:val="0"/>
                  <w:vAlign w:val="center"/>
                </w:tcPr>
                <w:p w14:paraId="51DCAA4A">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数量（台）</w:t>
                  </w:r>
                </w:p>
              </w:tc>
              <w:tc>
                <w:tcPr>
                  <w:tcW w:w="581" w:type="pct"/>
                  <w:vMerge w:val="restart"/>
                  <w:noWrap w:val="0"/>
                  <w:vAlign w:val="center"/>
                </w:tcPr>
                <w:p w14:paraId="707D9D5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噪声源强坐标（相对X，Y，Z）</w:t>
                  </w:r>
                </w:p>
              </w:tc>
              <w:tc>
                <w:tcPr>
                  <w:tcW w:w="479" w:type="pct"/>
                  <w:vMerge w:val="restart"/>
                  <w:noWrap w:val="0"/>
                  <w:vAlign w:val="center"/>
                </w:tcPr>
                <w:p w14:paraId="77D17979">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距室内边界距离/m</w:t>
                  </w:r>
                </w:p>
              </w:tc>
              <w:tc>
                <w:tcPr>
                  <w:tcW w:w="417" w:type="pct"/>
                  <w:vMerge w:val="restart"/>
                  <w:noWrap w:val="0"/>
                  <w:vAlign w:val="center"/>
                </w:tcPr>
                <w:p w14:paraId="757E6574">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室内边界声级/dB（A）</w:t>
                  </w:r>
                </w:p>
              </w:tc>
              <w:tc>
                <w:tcPr>
                  <w:tcW w:w="581" w:type="pct"/>
                  <w:vMerge w:val="restart"/>
                  <w:noWrap w:val="0"/>
                  <w:vAlign w:val="center"/>
                </w:tcPr>
                <w:p w14:paraId="281602B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污染防治措施</w:t>
                  </w:r>
                </w:p>
              </w:tc>
              <w:tc>
                <w:tcPr>
                  <w:tcW w:w="376" w:type="pct"/>
                  <w:vMerge w:val="restart"/>
                  <w:noWrap w:val="0"/>
                  <w:vAlign w:val="center"/>
                </w:tcPr>
                <w:p w14:paraId="590E105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运行时段</w:t>
                  </w:r>
                </w:p>
              </w:tc>
              <w:tc>
                <w:tcPr>
                  <w:tcW w:w="383" w:type="pct"/>
                  <w:vMerge w:val="restart"/>
                  <w:noWrap w:val="0"/>
                  <w:vAlign w:val="center"/>
                </w:tcPr>
                <w:p w14:paraId="7D3F388C">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建筑物插入损失/dB（A）</w:t>
                  </w:r>
                </w:p>
              </w:tc>
              <w:tc>
                <w:tcPr>
                  <w:tcW w:w="667" w:type="pct"/>
                  <w:gridSpan w:val="2"/>
                  <w:noWrap w:val="0"/>
                  <w:vAlign w:val="center"/>
                </w:tcPr>
                <w:p w14:paraId="2B9907BD">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建筑物外噪声</w:t>
                  </w:r>
                </w:p>
              </w:tc>
            </w:tr>
            <w:tr w14:paraId="1C5295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3" w:hRule="atLeast"/>
                <w:jc w:val="center"/>
              </w:trPr>
              <w:tc>
                <w:tcPr>
                  <w:tcW w:w="513" w:type="pct"/>
                  <w:vMerge w:val="continue"/>
                  <w:noWrap w:val="0"/>
                  <w:vAlign w:val="center"/>
                </w:tcPr>
                <w:p w14:paraId="645DF48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636" w:type="pct"/>
                  <w:vMerge w:val="continue"/>
                  <w:noWrap w:val="0"/>
                  <w:vAlign w:val="center"/>
                </w:tcPr>
                <w:p w14:paraId="3CDAAF79">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362" w:type="pct"/>
                  <w:vMerge w:val="continue"/>
                  <w:noWrap w:val="0"/>
                  <w:vAlign w:val="center"/>
                </w:tcPr>
                <w:p w14:paraId="2602936F">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581" w:type="pct"/>
                  <w:vMerge w:val="continue"/>
                  <w:noWrap w:val="0"/>
                  <w:vAlign w:val="center"/>
                </w:tcPr>
                <w:p w14:paraId="247192D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p>
              </w:tc>
              <w:tc>
                <w:tcPr>
                  <w:tcW w:w="479" w:type="pct"/>
                  <w:vMerge w:val="continue"/>
                  <w:noWrap w:val="0"/>
                  <w:vAlign w:val="center"/>
                </w:tcPr>
                <w:p w14:paraId="22A6DF5E">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417" w:type="pct"/>
                  <w:vMerge w:val="continue"/>
                  <w:noWrap w:val="0"/>
                  <w:vAlign w:val="center"/>
                </w:tcPr>
                <w:p w14:paraId="3C935D7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581" w:type="pct"/>
                  <w:vMerge w:val="continue"/>
                  <w:noWrap w:val="0"/>
                  <w:vAlign w:val="center"/>
                </w:tcPr>
                <w:p w14:paraId="5FECE75F">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376" w:type="pct"/>
                  <w:vMerge w:val="continue"/>
                  <w:noWrap w:val="0"/>
                  <w:vAlign w:val="center"/>
                </w:tcPr>
                <w:p w14:paraId="7FD5BF1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383" w:type="pct"/>
                  <w:vMerge w:val="continue"/>
                  <w:noWrap w:val="0"/>
                  <w:vAlign w:val="center"/>
                </w:tcPr>
                <w:p w14:paraId="3F141C0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p>
              </w:tc>
              <w:tc>
                <w:tcPr>
                  <w:tcW w:w="386" w:type="pct"/>
                  <w:noWrap w:val="0"/>
                  <w:vAlign w:val="center"/>
                </w:tcPr>
                <w:p w14:paraId="492092A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声压级/dB（A）</w:t>
                  </w:r>
                </w:p>
              </w:tc>
              <w:tc>
                <w:tcPr>
                  <w:tcW w:w="281" w:type="pct"/>
                  <w:noWrap w:val="0"/>
                  <w:vAlign w:val="center"/>
                </w:tcPr>
                <w:p w14:paraId="75729F9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建筑外距离</w:t>
                  </w:r>
                </w:p>
              </w:tc>
            </w:tr>
            <w:tr w14:paraId="389C6D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66" w:hRule="atLeast"/>
                <w:jc w:val="center"/>
              </w:trPr>
              <w:tc>
                <w:tcPr>
                  <w:tcW w:w="513" w:type="pct"/>
                  <w:noWrap w:val="0"/>
                  <w:vAlign w:val="center"/>
                </w:tcPr>
                <w:p w14:paraId="333DD0B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切割机</w:t>
                  </w:r>
                </w:p>
              </w:tc>
              <w:tc>
                <w:tcPr>
                  <w:tcW w:w="636" w:type="pct"/>
                  <w:noWrap w:val="0"/>
                  <w:vAlign w:val="center"/>
                </w:tcPr>
                <w:p w14:paraId="583EA58C">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85</w:t>
                  </w:r>
                </w:p>
              </w:tc>
              <w:tc>
                <w:tcPr>
                  <w:tcW w:w="362" w:type="pct"/>
                  <w:noWrap w:val="0"/>
                  <w:vAlign w:val="center"/>
                </w:tcPr>
                <w:p w14:paraId="68E6BDA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581" w:type="pct"/>
                  <w:noWrap w:val="0"/>
                  <w:vAlign w:val="center"/>
                </w:tcPr>
                <w:p w14:paraId="475EE0A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33,1</w:t>
                  </w:r>
                </w:p>
              </w:tc>
              <w:tc>
                <w:tcPr>
                  <w:tcW w:w="479" w:type="pct"/>
                  <w:noWrap w:val="0"/>
                  <w:vAlign w:val="center"/>
                </w:tcPr>
                <w:p w14:paraId="7E1A798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5.5</w:t>
                  </w:r>
                </w:p>
              </w:tc>
              <w:tc>
                <w:tcPr>
                  <w:tcW w:w="417" w:type="pct"/>
                  <w:noWrap w:val="0"/>
                  <w:vAlign w:val="center"/>
                </w:tcPr>
                <w:p w14:paraId="44235F5A">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70.19</w:t>
                  </w:r>
                </w:p>
              </w:tc>
              <w:tc>
                <w:tcPr>
                  <w:tcW w:w="581" w:type="pct"/>
                  <w:noWrap w:val="0"/>
                  <w:vAlign w:val="center"/>
                </w:tcPr>
                <w:p w14:paraId="0326CCC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低噪音设备、厂房隔声</w:t>
                  </w:r>
                </w:p>
              </w:tc>
              <w:tc>
                <w:tcPr>
                  <w:tcW w:w="376" w:type="pct"/>
                  <w:noWrap w:val="0"/>
                  <w:vAlign w:val="center"/>
                </w:tcPr>
                <w:p w14:paraId="64AA222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持续</w:t>
                  </w:r>
                </w:p>
              </w:tc>
              <w:tc>
                <w:tcPr>
                  <w:tcW w:w="383" w:type="pct"/>
                  <w:noWrap w:val="0"/>
                  <w:vAlign w:val="center"/>
                </w:tcPr>
                <w:p w14:paraId="66DE10F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20</w:t>
                  </w:r>
                </w:p>
              </w:tc>
              <w:tc>
                <w:tcPr>
                  <w:tcW w:w="386" w:type="pct"/>
                  <w:noWrap w:val="0"/>
                  <w:vAlign w:val="center"/>
                </w:tcPr>
                <w:p w14:paraId="721935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val="en-US" w:eastAsia="zh-CN"/>
                    </w:rPr>
                    <w:t>50.19</w:t>
                  </w:r>
                </w:p>
              </w:tc>
              <w:tc>
                <w:tcPr>
                  <w:tcW w:w="281" w:type="pct"/>
                  <w:noWrap w:val="0"/>
                  <w:vAlign w:val="center"/>
                </w:tcPr>
                <w:p w14:paraId="623F1CFF">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1m</w:t>
                  </w:r>
                </w:p>
              </w:tc>
            </w:tr>
            <w:tr w14:paraId="5D3CF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513" w:type="pct"/>
                  <w:noWrap w:val="0"/>
                  <w:vAlign w:val="center"/>
                </w:tcPr>
                <w:p w14:paraId="3563015B">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打磨机</w:t>
                  </w:r>
                </w:p>
              </w:tc>
              <w:tc>
                <w:tcPr>
                  <w:tcW w:w="636" w:type="pct"/>
                  <w:noWrap w:val="0"/>
                  <w:vAlign w:val="center"/>
                </w:tcPr>
                <w:p w14:paraId="0510FEDE">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85</w:t>
                  </w:r>
                </w:p>
              </w:tc>
              <w:tc>
                <w:tcPr>
                  <w:tcW w:w="362" w:type="pct"/>
                  <w:noWrap w:val="0"/>
                  <w:vAlign w:val="center"/>
                </w:tcPr>
                <w:p w14:paraId="5819C7E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3E66B51A">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r>
                    <w:rPr>
                      <w:rFonts w:hint="eastAsia"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5,1</w:t>
                  </w:r>
                </w:p>
              </w:tc>
              <w:tc>
                <w:tcPr>
                  <w:tcW w:w="479" w:type="pct"/>
                  <w:noWrap w:val="0"/>
                  <w:vAlign w:val="center"/>
                </w:tcPr>
                <w:p w14:paraId="25CD675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5.5</w:t>
                  </w:r>
                </w:p>
              </w:tc>
              <w:tc>
                <w:tcPr>
                  <w:tcW w:w="417" w:type="pct"/>
                  <w:noWrap w:val="0"/>
                  <w:vAlign w:val="center"/>
                </w:tcPr>
                <w:p w14:paraId="65594CA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70.19</w:t>
                  </w:r>
                </w:p>
              </w:tc>
              <w:tc>
                <w:tcPr>
                  <w:tcW w:w="581" w:type="pct"/>
                  <w:noWrap w:val="0"/>
                  <w:vAlign w:val="center"/>
                </w:tcPr>
                <w:p w14:paraId="1A030A51">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sz w:val="21"/>
                      <w:szCs w:val="21"/>
                      <w:highlight w:val="none"/>
                      <w:lang w:val="en-US" w:eastAsia="zh-CN"/>
                    </w:rPr>
                  </w:pPr>
                  <w:r>
                    <w:rPr>
                      <w:rFonts w:hint="eastAsia"/>
                      <w:color w:val="auto"/>
                      <w:sz w:val="21"/>
                      <w:szCs w:val="21"/>
                      <w:highlight w:val="none"/>
                      <w:lang w:val="en-US" w:eastAsia="zh-CN"/>
                    </w:rPr>
                    <w:t>低噪音设备、厂房隔声</w:t>
                  </w:r>
                </w:p>
              </w:tc>
              <w:tc>
                <w:tcPr>
                  <w:tcW w:w="376" w:type="pct"/>
                  <w:noWrap w:val="0"/>
                  <w:vAlign w:val="center"/>
                </w:tcPr>
                <w:p w14:paraId="7A06F7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持续</w:t>
                  </w:r>
                </w:p>
              </w:tc>
              <w:tc>
                <w:tcPr>
                  <w:tcW w:w="383" w:type="pct"/>
                  <w:noWrap w:val="0"/>
                  <w:vAlign w:val="center"/>
                </w:tcPr>
                <w:p w14:paraId="53FD73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782E31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val="en-US" w:eastAsia="zh-CN"/>
                    </w:rPr>
                    <w:t>50.19</w:t>
                  </w:r>
                </w:p>
              </w:tc>
              <w:tc>
                <w:tcPr>
                  <w:tcW w:w="281" w:type="pct"/>
                  <w:noWrap w:val="0"/>
                  <w:vAlign w:val="center"/>
                </w:tcPr>
                <w:p w14:paraId="2AD83B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2C0A2C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0" w:hRule="atLeast"/>
                <w:jc w:val="center"/>
              </w:trPr>
              <w:tc>
                <w:tcPr>
                  <w:tcW w:w="513" w:type="pct"/>
                  <w:noWrap w:val="0"/>
                  <w:vAlign w:val="center"/>
                </w:tcPr>
                <w:p w14:paraId="6AF67F51">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钢化炉</w:t>
                  </w:r>
                </w:p>
              </w:tc>
              <w:tc>
                <w:tcPr>
                  <w:tcW w:w="636" w:type="pct"/>
                  <w:noWrap w:val="0"/>
                  <w:vAlign w:val="center"/>
                </w:tcPr>
                <w:p w14:paraId="3989693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85</w:t>
                  </w:r>
                </w:p>
              </w:tc>
              <w:tc>
                <w:tcPr>
                  <w:tcW w:w="362" w:type="pct"/>
                  <w:noWrap w:val="0"/>
                  <w:vAlign w:val="center"/>
                </w:tcPr>
                <w:p w14:paraId="5361CD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3897AA5F">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c>
                <w:tcPr>
                  <w:tcW w:w="479" w:type="pct"/>
                  <w:noWrap w:val="0"/>
                  <w:vAlign w:val="center"/>
                </w:tcPr>
                <w:p w14:paraId="7176910E">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.5</w:t>
                  </w:r>
                </w:p>
              </w:tc>
              <w:tc>
                <w:tcPr>
                  <w:tcW w:w="417" w:type="pct"/>
                  <w:noWrap w:val="0"/>
                  <w:vAlign w:val="center"/>
                </w:tcPr>
                <w:p w14:paraId="628D976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70.19</w:t>
                  </w:r>
                </w:p>
              </w:tc>
              <w:tc>
                <w:tcPr>
                  <w:tcW w:w="581" w:type="pct"/>
                  <w:noWrap w:val="0"/>
                  <w:vAlign w:val="center"/>
                </w:tcPr>
                <w:p w14:paraId="745EDD9C">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06F6B4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持续</w:t>
                  </w:r>
                </w:p>
              </w:tc>
              <w:tc>
                <w:tcPr>
                  <w:tcW w:w="383" w:type="pct"/>
                  <w:noWrap w:val="0"/>
                  <w:vAlign w:val="center"/>
                </w:tcPr>
                <w:p w14:paraId="3A7E9F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72544C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50.19</w:t>
                  </w:r>
                </w:p>
              </w:tc>
              <w:tc>
                <w:tcPr>
                  <w:tcW w:w="281" w:type="pct"/>
                  <w:noWrap w:val="0"/>
                  <w:vAlign w:val="center"/>
                </w:tcPr>
                <w:p w14:paraId="3014D5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4955F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513" w:type="pct"/>
                  <w:noWrap w:val="0"/>
                  <w:vAlign w:val="center"/>
                </w:tcPr>
                <w:p w14:paraId="245F7F4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清洗机</w:t>
                  </w:r>
                </w:p>
              </w:tc>
              <w:tc>
                <w:tcPr>
                  <w:tcW w:w="636" w:type="pct"/>
                  <w:noWrap w:val="0"/>
                  <w:vAlign w:val="center"/>
                </w:tcPr>
                <w:p w14:paraId="11A02B8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85</w:t>
                  </w:r>
                </w:p>
              </w:tc>
              <w:tc>
                <w:tcPr>
                  <w:tcW w:w="362" w:type="pct"/>
                  <w:noWrap w:val="0"/>
                  <w:vAlign w:val="center"/>
                </w:tcPr>
                <w:p w14:paraId="7005CDA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1E18497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95</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p>
              </w:tc>
              <w:tc>
                <w:tcPr>
                  <w:tcW w:w="479" w:type="pct"/>
                  <w:noWrap w:val="0"/>
                  <w:vAlign w:val="center"/>
                </w:tcPr>
                <w:p w14:paraId="7193EB8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rPr>
                    <w:t>8.5</w:t>
                  </w:r>
                </w:p>
              </w:tc>
              <w:tc>
                <w:tcPr>
                  <w:tcW w:w="417" w:type="pct"/>
                  <w:noWrap w:val="0"/>
                  <w:vAlign w:val="center"/>
                </w:tcPr>
                <w:p w14:paraId="17929B6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68.09</w:t>
                  </w:r>
                </w:p>
              </w:tc>
              <w:tc>
                <w:tcPr>
                  <w:tcW w:w="581" w:type="pct"/>
                  <w:noWrap w:val="0"/>
                  <w:vAlign w:val="center"/>
                </w:tcPr>
                <w:p w14:paraId="30B7A2CE">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655D86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持续</w:t>
                  </w:r>
                </w:p>
              </w:tc>
              <w:tc>
                <w:tcPr>
                  <w:tcW w:w="383" w:type="pct"/>
                  <w:noWrap w:val="0"/>
                  <w:vAlign w:val="center"/>
                </w:tcPr>
                <w:p w14:paraId="6BCA8A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3C421A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48.09</w:t>
                  </w:r>
                </w:p>
              </w:tc>
              <w:tc>
                <w:tcPr>
                  <w:tcW w:w="281" w:type="pct"/>
                  <w:noWrap w:val="0"/>
                  <w:vAlign w:val="center"/>
                </w:tcPr>
                <w:p w14:paraId="47103D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5E11CB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513" w:type="pct"/>
                  <w:noWrap w:val="0"/>
                  <w:vAlign w:val="center"/>
                </w:tcPr>
                <w:p w14:paraId="388185A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color w:val="auto"/>
                      <w:sz w:val="21"/>
                      <w:szCs w:val="21"/>
                      <w:highlight w:val="none"/>
                      <w:lang w:eastAsia="zh-CN"/>
                    </w:rPr>
                  </w:pPr>
                  <w:r>
                    <w:rPr>
                      <w:rFonts w:hint="eastAsia"/>
                      <w:color w:val="auto"/>
                      <w:sz w:val="21"/>
                      <w:szCs w:val="21"/>
                      <w:highlight w:val="none"/>
                      <w:lang w:eastAsia="zh-CN"/>
                    </w:rPr>
                    <w:t>压滤机</w:t>
                  </w:r>
                </w:p>
              </w:tc>
              <w:tc>
                <w:tcPr>
                  <w:tcW w:w="636" w:type="pct"/>
                  <w:noWrap w:val="0"/>
                  <w:vAlign w:val="center"/>
                </w:tcPr>
                <w:p w14:paraId="57ED094A">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85</w:t>
                  </w:r>
                </w:p>
              </w:tc>
              <w:tc>
                <w:tcPr>
                  <w:tcW w:w="362" w:type="pct"/>
                  <w:noWrap w:val="0"/>
                  <w:vAlign w:val="center"/>
                </w:tcPr>
                <w:p w14:paraId="4178EA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581" w:type="pct"/>
                  <w:noWrap w:val="0"/>
                  <w:vAlign w:val="center"/>
                </w:tcPr>
                <w:p w14:paraId="603F72AD">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35,100,1</w:t>
                  </w:r>
                </w:p>
              </w:tc>
              <w:tc>
                <w:tcPr>
                  <w:tcW w:w="479" w:type="pct"/>
                  <w:noWrap w:val="0"/>
                  <w:vAlign w:val="center"/>
                </w:tcPr>
                <w:p w14:paraId="497402DB">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417" w:type="pct"/>
                  <w:noWrap w:val="0"/>
                  <w:vAlign w:val="center"/>
                </w:tcPr>
                <w:p w14:paraId="5D2255E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auto"/>
                      <w:sz w:val="21"/>
                      <w:szCs w:val="21"/>
                      <w:highlight w:val="none"/>
                      <w:lang w:val="en-US" w:eastAsia="zh-CN"/>
                    </w:rPr>
                  </w:pPr>
                  <w:r>
                    <w:rPr>
                      <w:rFonts w:hint="eastAsia"/>
                      <w:color w:val="auto"/>
                      <w:sz w:val="21"/>
                      <w:szCs w:val="21"/>
                      <w:highlight w:val="none"/>
                      <w:lang w:val="en-US" w:eastAsia="zh-CN"/>
                    </w:rPr>
                    <w:t>71.02</w:t>
                  </w:r>
                </w:p>
              </w:tc>
              <w:tc>
                <w:tcPr>
                  <w:tcW w:w="581" w:type="pct"/>
                  <w:noWrap w:val="0"/>
                  <w:vAlign w:val="center"/>
                </w:tcPr>
                <w:p w14:paraId="4C896FA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1F2B82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昼间</w:t>
                  </w:r>
                </w:p>
              </w:tc>
              <w:tc>
                <w:tcPr>
                  <w:tcW w:w="383" w:type="pct"/>
                  <w:noWrap w:val="0"/>
                  <w:vAlign w:val="center"/>
                </w:tcPr>
                <w:p w14:paraId="449D60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386" w:type="pct"/>
                  <w:noWrap w:val="0"/>
                  <w:vAlign w:val="center"/>
                </w:tcPr>
                <w:p w14:paraId="31BCF4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51.02</w:t>
                  </w:r>
                </w:p>
              </w:tc>
              <w:tc>
                <w:tcPr>
                  <w:tcW w:w="281" w:type="pct"/>
                  <w:noWrap w:val="0"/>
                  <w:vAlign w:val="center"/>
                </w:tcPr>
                <w:p w14:paraId="3CB7BB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00E3E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513" w:type="pct"/>
                  <w:noWrap w:val="0"/>
                  <w:vAlign w:val="center"/>
                </w:tcPr>
                <w:p w14:paraId="27722DA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涂胶机</w:t>
                  </w:r>
                </w:p>
              </w:tc>
              <w:tc>
                <w:tcPr>
                  <w:tcW w:w="636" w:type="pct"/>
                  <w:noWrap w:val="0"/>
                  <w:vAlign w:val="center"/>
                </w:tcPr>
                <w:p w14:paraId="0F95A12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5</w:t>
                  </w:r>
                </w:p>
              </w:tc>
              <w:tc>
                <w:tcPr>
                  <w:tcW w:w="362" w:type="pct"/>
                  <w:noWrap w:val="0"/>
                  <w:vAlign w:val="center"/>
                </w:tcPr>
                <w:p w14:paraId="5C2754B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095DF98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13</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c>
                <w:tcPr>
                  <w:tcW w:w="479" w:type="pct"/>
                  <w:noWrap w:val="0"/>
                  <w:vAlign w:val="center"/>
                </w:tcPr>
                <w:p w14:paraId="3CF1BA68">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4</w:t>
                  </w:r>
                  <w:r>
                    <w:rPr>
                      <w:rFonts w:hint="eastAsia"/>
                      <w:color w:val="auto"/>
                      <w:sz w:val="21"/>
                      <w:szCs w:val="21"/>
                      <w:highlight w:val="none"/>
                    </w:rPr>
                    <w:t>.5</w:t>
                  </w:r>
                </w:p>
              </w:tc>
              <w:tc>
                <w:tcPr>
                  <w:tcW w:w="417" w:type="pct"/>
                  <w:noWrap w:val="0"/>
                  <w:vAlign w:val="center"/>
                </w:tcPr>
                <w:p w14:paraId="42450B15">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auto"/>
                      <w:sz w:val="21"/>
                      <w:szCs w:val="21"/>
                      <w:highlight w:val="none"/>
                      <w:lang w:val="en-US"/>
                    </w:rPr>
                  </w:pPr>
                  <w:r>
                    <w:rPr>
                      <w:rFonts w:hint="eastAsia"/>
                      <w:color w:val="auto"/>
                      <w:sz w:val="21"/>
                      <w:szCs w:val="21"/>
                      <w:highlight w:val="none"/>
                      <w:lang w:val="en-US" w:eastAsia="zh-CN"/>
                    </w:rPr>
                    <w:t>61.94</w:t>
                  </w:r>
                </w:p>
              </w:tc>
              <w:tc>
                <w:tcPr>
                  <w:tcW w:w="581" w:type="pct"/>
                  <w:noWrap w:val="0"/>
                  <w:vAlign w:val="center"/>
                </w:tcPr>
                <w:p w14:paraId="48B7335C">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34632E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eastAsia="zh-CN"/>
                    </w:rPr>
                    <w:t>昼间</w:t>
                  </w:r>
                </w:p>
              </w:tc>
              <w:tc>
                <w:tcPr>
                  <w:tcW w:w="383" w:type="pct"/>
                  <w:noWrap w:val="0"/>
                  <w:vAlign w:val="center"/>
                </w:tcPr>
                <w:p w14:paraId="6CD0BB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5676C3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rPr>
                  </w:pPr>
                  <w:r>
                    <w:rPr>
                      <w:rFonts w:hint="eastAsia"/>
                      <w:color w:val="auto"/>
                      <w:sz w:val="21"/>
                      <w:szCs w:val="21"/>
                      <w:highlight w:val="none"/>
                      <w:lang w:val="en-US" w:eastAsia="zh-CN"/>
                    </w:rPr>
                    <w:t>41.94</w:t>
                  </w:r>
                </w:p>
              </w:tc>
              <w:tc>
                <w:tcPr>
                  <w:tcW w:w="281" w:type="pct"/>
                  <w:noWrap w:val="0"/>
                  <w:vAlign w:val="center"/>
                </w:tcPr>
                <w:p w14:paraId="00EFFC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14E02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13" w:type="pct"/>
                  <w:noWrap w:val="0"/>
                  <w:vAlign w:val="center"/>
                </w:tcPr>
                <w:p w14:paraId="3D28258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分子筛灌装机</w:t>
                  </w:r>
                </w:p>
              </w:tc>
              <w:tc>
                <w:tcPr>
                  <w:tcW w:w="636" w:type="pct"/>
                  <w:noWrap w:val="0"/>
                  <w:vAlign w:val="center"/>
                </w:tcPr>
                <w:p w14:paraId="63C0EAD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75</w:t>
                  </w:r>
                </w:p>
              </w:tc>
              <w:tc>
                <w:tcPr>
                  <w:tcW w:w="362" w:type="pct"/>
                  <w:noWrap w:val="0"/>
                  <w:vAlign w:val="center"/>
                </w:tcPr>
                <w:p w14:paraId="2B6EA3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18303B7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c>
                <w:tcPr>
                  <w:tcW w:w="479" w:type="pct"/>
                  <w:noWrap w:val="0"/>
                  <w:vAlign w:val="center"/>
                </w:tcPr>
                <w:p w14:paraId="7039DB7B">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417" w:type="pct"/>
                  <w:noWrap w:val="0"/>
                  <w:vAlign w:val="center"/>
                </w:tcPr>
                <w:p w14:paraId="7E09A158">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color w:val="auto"/>
                      <w:sz w:val="21"/>
                      <w:szCs w:val="21"/>
                      <w:highlight w:val="none"/>
                      <w:lang w:val="en-US"/>
                    </w:rPr>
                  </w:pPr>
                  <w:r>
                    <w:rPr>
                      <w:rFonts w:hint="eastAsia"/>
                      <w:color w:val="auto"/>
                      <w:sz w:val="21"/>
                      <w:szCs w:val="21"/>
                      <w:highlight w:val="none"/>
                      <w:lang w:val="en-US" w:eastAsia="zh-CN"/>
                    </w:rPr>
                    <w:t>65.46</w:t>
                  </w:r>
                </w:p>
              </w:tc>
              <w:tc>
                <w:tcPr>
                  <w:tcW w:w="581" w:type="pct"/>
                  <w:noWrap w:val="0"/>
                  <w:vAlign w:val="center"/>
                </w:tcPr>
                <w:p w14:paraId="30D93B19">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47F53B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eastAsia="zh-CN"/>
                    </w:rPr>
                    <w:t>昼间</w:t>
                  </w:r>
                </w:p>
              </w:tc>
              <w:tc>
                <w:tcPr>
                  <w:tcW w:w="383" w:type="pct"/>
                  <w:noWrap w:val="0"/>
                  <w:vAlign w:val="center"/>
                </w:tcPr>
                <w:p w14:paraId="39A763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7E6BF14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21"/>
                      <w:szCs w:val="21"/>
                      <w:highlight w:val="none"/>
                      <w:lang w:val="en-US"/>
                    </w:rPr>
                  </w:pPr>
                  <w:r>
                    <w:rPr>
                      <w:rFonts w:hint="eastAsia"/>
                      <w:color w:val="auto"/>
                      <w:sz w:val="21"/>
                      <w:szCs w:val="21"/>
                      <w:highlight w:val="none"/>
                      <w:lang w:val="en-US" w:eastAsia="zh-CN"/>
                    </w:rPr>
                    <w:t>45.46</w:t>
                  </w:r>
                </w:p>
              </w:tc>
              <w:tc>
                <w:tcPr>
                  <w:tcW w:w="281" w:type="pct"/>
                  <w:noWrap w:val="0"/>
                  <w:vAlign w:val="center"/>
                </w:tcPr>
                <w:p w14:paraId="6915D9C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66F7DA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513" w:type="pct"/>
                  <w:noWrap w:val="0"/>
                  <w:vAlign w:val="center"/>
                </w:tcPr>
                <w:p w14:paraId="72A8CFF4">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封胶机</w:t>
                  </w:r>
                </w:p>
              </w:tc>
              <w:tc>
                <w:tcPr>
                  <w:tcW w:w="636" w:type="pct"/>
                  <w:noWrap w:val="0"/>
                  <w:vAlign w:val="center"/>
                </w:tcPr>
                <w:p w14:paraId="2780AB4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75</w:t>
                  </w:r>
                </w:p>
              </w:tc>
              <w:tc>
                <w:tcPr>
                  <w:tcW w:w="362" w:type="pct"/>
                  <w:noWrap w:val="0"/>
                  <w:vAlign w:val="center"/>
                </w:tcPr>
                <w:p w14:paraId="570FBC9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284F0FA4">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c>
                <w:tcPr>
                  <w:tcW w:w="479" w:type="pct"/>
                  <w:noWrap w:val="0"/>
                  <w:vAlign w:val="center"/>
                </w:tcPr>
                <w:p w14:paraId="370B2C0B">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417" w:type="pct"/>
                  <w:noWrap w:val="0"/>
                  <w:vAlign w:val="center"/>
                </w:tcPr>
                <w:p w14:paraId="63F182E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lang w:val="en-US" w:eastAsia="zh-CN"/>
                    </w:rPr>
                    <w:t>65.46</w:t>
                  </w:r>
                </w:p>
              </w:tc>
              <w:tc>
                <w:tcPr>
                  <w:tcW w:w="581" w:type="pct"/>
                  <w:noWrap w:val="0"/>
                  <w:vAlign w:val="center"/>
                </w:tcPr>
                <w:p w14:paraId="0644D2F1">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59E479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eastAsia="zh-CN"/>
                    </w:rPr>
                    <w:t>昼间</w:t>
                  </w:r>
                </w:p>
              </w:tc>
              <w:tc>
                <w:tcPr>
                  <w:tcW w:w="383" w:type="pct"/>
                  <w:noWrap w:val="0"/>
                  <w:vAlign w:val="center"/>
                </w:tcPr>
                <w:p w14:paraId="5A0ABC2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04C81D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val="en-US" w:eastAsia="zh-CN"/>
                    </w:rPr>
                    <w:t>45.46</w:t>
                  </w:r>
                </w:p>
              </w:tc>
              <w:tc>
                <w:tcPr>
                  <w:tcW w:w="281" w:type="pct"/>
                  <w:noWrap w:val="0"/>
                  <w:vAlign w:val="center"/>
                </w:tcPr>
                <w:p w14:paraId="185DC3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7F702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513" w:type="pct"/>
                  <w:noWrap w:val="0"/>
                  <w:vAlign w:val="center"/>
                </w:tcPr>
                <w:p w14:paraId="765894FC">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铝条折弯机</w:t>
                  </w:r>
                </w:p>
              </w:tc>
              <w:tc>
                <w:tcPr>
                  <w:tcW w:w="636" w:type="pct"/>
                  <w:noWrap w:val="0"/>
                  <w:vAlign w:val="center"/>
                </w:tcPr>
                <w:p w14:paraId="1A59AC63">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75</w:t>
                  </w:r>
                </w:p>
              </w:tc>
              <w:tc>
                <w:tcPr>
                  <w:tcW w:w="362" w:type="pct"/>
                  <w:noWrap w:val="0"/>
                  <w:vAlign w:val="center"/>
                </w:tcPr>
                <w:p w14:paraId="794DEF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1FB969C6">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，1</w:t>
                  </w:r>
                </w:p>
              </w:tc>
              <w:tc>
                <w:tcPr>
                  <w:tcW w:w="479" w:type="pct"/>
                  <w:noWrap w:val="0"/>
                  <w:vAlign w:val="center"/>
                </w:tcPr>
                <w:p w14:paraId="66A5C9D2">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3</w:t>
                  </w:r>
                </w:p>
              </w:tc>
              <w:tc>
                <w:tcPr>
                  <w:tcW w:w="417" w:type="pct"/>
                  <w:noWrap w:val="0"/>
                  <w:vAlign w:val="center"/>
                </w:tcPr>
                <w:p w14:paraId="29842E47">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lang w:val="en-US" w:eastAsia="zh-CN"/>
                    </w:rPr>
                    <w:t>65.46</w:t>
                  </w:r>
                </w:p>
              </w:tc>
              <w:tc>
                <w:tcPr>
                  <w:tcW w:w="581" w:type="pct"/>
                  <w:noWrap w:val="0"/>
                  <w:vAlign w:val="center"/>
                </w:tcPr>
                <w:p w14:paraId="55B97C0B">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低噪音设备、厂房隔声</w:t>
                  </w:r>
                </w:p>
              </w:tc>
              <w:tc>
                <w:tcPr>
                  <w:tcW w:w="376" w:type="pct"/>
                  <w:noWrap w:val="0"/>
                  <w:vAlign w:val="center"/>
                </w:tcPr>
                <w:p w14:paraId="5A238A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eastAsia="zh-CN"/>
                    </w:rPr>
                    <w:t>昼间</w:t>
                  </w:r>
                </w:p>
              </w:tc>
              <w:tc>
                <w:tcPr>
                  <w:tcW w:w="383" w:type="pct"/>
                  <w:noWrap w:val="0"/>
                  <w:vAlign w:val="center"/>
                </w:tcPr>
                <w:p w14:paraId="5ECCEA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1A0DCB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lang w:val="en-US" w:eastAsia="zh-CN"/>
                    </w:rPr>
                    <w:t>45.46</w:t>
                  </w:r>
                </w:p>
              </w:tc>
              <w:tc>
                <w:tcPr>
                  <w:tcW w:w="281" w:type="pct"/>
                  <w:noWrap w:val="0"/>
                  <w:vAlign w:val="center"/>
                </w:tcPr>
                <w:p w14:paraId="10E1B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r w14:paraId="6B8B40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01" w:hRule="atLeast"/>
                <w:jc w:val="center"/>
              </w:trPr>
              <w:tc>
                <w:tcPr>
                  <w:tcW w:w="513" w:type="pct"/>
                  <w:noWrap w:val="0"/>
                  <w:vAlign w:val="center"/>
                </w:tcPr>
                <w:p w14:paraId="55BAD441">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eastAsia="zh-CN"/>
                    </w:rPr>
                    <w:t>风机</w:t>
                  </w:r>
                </w:p>
              </w:tc>
              <w:tc>
                <w:tcPr>
                  <w:tcW w:w="636" w:type="pct"/>
                  <w:noWrap w:val="0"/>
                  <w:vAlign w:val="center"/>
                </w:tcPr>
                <w:p w14:paraId="09FCFDA9">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85</w:t>
                  </w:r>
                </w:p>
              </w:tc>
              <w:tc>
                <w:tcPr>
                  <w:tcW w:w="362" w:type="pct"/>
                  <w:noWrap w:val="0"/>
                  <w:vAlign w:val="center"/>
                </w:tcPr>
                <w:p w14:paraId="0725B6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color w:val="auto"/>
                      <w:sz w:val="21"/>
                      <w:szCs w:val="21"/>
                      <w:highlight w:val="none"/>
                    </w:rPr>
                  </w:pPr>
                  <w:r>
                    <w:rPr>
                      <w:rFonts w:hint="eastAsia"/>
                      <w:color w:val="auto"/>
                      <w:sz w:val="21"/>
                      <w:szCs w:val="21"/>
                      <w:highlight w:val="none"/>
                      <w:lang w:val="en-US" w:eastAsia="zh-CN"/>
                    </w:rPr>
                    <w:t>1</w:t>
                  </w:r>
                </w:p>
              </w:tc>
              <w:tc>
                <w:tcPr>
                  <w:tcW w:w="581" w:type="pct"/>
                  <w:noWrap w:val="0"/>
                  <w:vAlign w:val="center"/>
                </w:tcPr>
                <w:p w14:paraId="46CABB64">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lang w:val="en-US" w:eastAsia="zh-CN"/>
                    </w:rPr>
                    <w:t>5</w:t>
                  </w:r>
                </w:p>
              </w:tc>
              <w:tc>
                <w:tcPr>
                  <w:tcW w:w="479" w:type="pct"/>
                  <w:noWrap w:val="0"/>
                  <w:vAlign w:val="center"/>
                </w:tcPr>
                <w:p w14:paraId="63335A4E">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rPr>
                    <w:t>2</w:t>
                  </w:r>
                </w:p>
              </w:tc>
              <w:tc>
                <w:tcPr>
                  <w:tcW w:w="417" w:type="pct"/>
                  <w:noWrap w:val="0"/>
                  <w:vAlign w:val="center"/>
                </w:tcPr>
                <w:p w14:paraId="43EAC0E1">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78.98</w:t>
                  </w:r>
                </w:p>
              </w:tc>
              <w:tc>
                <w:tcPr>
                  <w:tcW w:w="581" w:type="pct"/>
                  <w:noWrap w:val="0"/>
                  <w:vAlign w:val="center"/>
                </w:tcPr>
                <w:p w14:paraId="3E18E5FF">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color w:val="auto"/>
                      <w:sz w:val="21"/>
                      <w:szCs w:val="21"/>
                      <w:highlight w:val="none"/>
                    </w:rPr>
                    <w:t>进风口消声器、管道外壳阻尼</w:t>
                  </w:r>
                </w:p>
              </w:tc>
              <w:tc>
                <w:tcPr>
                  <w:tcW w:w="376" w:type="pct"/>
                  <w:noWrap w:val="0"/>
                  <w:vAlign w:val="center"/>
                </w:tcPr>
                <w:p w14:paraId="004D2B80">
                  <w:pPr>
                    <w:pStyle w:val="85"/>
                    <w:keepNext w:val="0"/>
                    <w:keepLines w:val="0"/>
                    <w:pageBreakBefore w:val="0"/>
                    <w:widowControl/>
                    <w:kinsoku/>
                    <w:wordWrap/>
                    <w:overflowPunct/>
                    <w:topLinePunct w:val="0"/>
                    <w:autoSpaceDE/>
                    <w:autoSpaceDN/>
                    <w:bidi w:val="0"/>
                    <w:adjustRightInd w:val="0"/>
                    <w:snapToGrid w:val="0"/>
                    <w:spacing w:line="240" w:lineRule="auto"/>
                    <w:textAlignment w:val="auto"/>
                    <w:rPr>
                      <w:color w:val="auto"/>
                      <w:sz w:val="21"/>
                      <w:szCs w:val="21"/>
                      <w:highlight w:val="none"/>
                    </w:rPr>
                  </w:pPr>
                  <w:r>
                    <w:rPr>
                      <w:rFonts w:hint="eastAsia"/>
                      <w:color w:val="auto"/>
                      <w:sz w:val="21"/>
                      <w:szCs w:val="21"/>
                      <w:highlight w:val="none"/>
                      <w:lang w:eastAsia="zh-CN"/>
                    </w:rPr>
                    <w:t>昼间</w:t>
                  </w:r>
                </w:p>
              </w:tc>
              <w:tc>
                <w:tcPr>
                  <w:tcW w:w="383" w:type="pct"/>
                  <w:noWrap w:val="0"/>
                  <w:vAlign w:val="center"/>
                </w:tcPr>
                <w:p w14:paraId="3448E60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20</w:t>
                  </w:r>
                </w:p>
              </w:tc>
              <w:tc>
                <w:tcPr>
                  <w:tcW w:w="386" w:type="pct"/>
                  <w:noWrap w:val="0"/>
                  <w:vAlign w:val="center"/>
                </w:tcPr>
                <w:p w14:paraId="1B0466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58.98</w:t>
                  </w:r>
                </w:p>
              </w:tc>
              <w:tc>
                <w:tcPr>
                  <w:tcW w:w="281" w:type="pct"/>
                  <w:noWrap w:val="0"/>
                  <w:vAlign w:val="center"/>
                </w:tcPr>
                <w:p w14:paraId="6CA938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highlight w:val="none"/>
                    </w:rPr>
                  </w:pPr>
                  <w:r>
                    <w:rPr>
                      <w:color w:val="auto"/>
                      <w:sz w:val="21"/>
                      <w:szCs w:val="21"/>
                      <w:highlight w:val="none"/>
                    </w:rPr>
                    <w:t>1m</w:t>
                  </w:r>
                </w:p>
              </w:tc>
            </w:tr>
          </w:tbl>
          <w:p w14:paraId="355904F6">
            <w:pPr>
              <w:pStyle w:val="76"/>
              <w:spacing w:line="240" w:lineRule="auto"/>
              <w:ind w:left="0" w:leftChars="0" w:firstLine="0" w:firstLineChars="0"/>
              <w:rPr>
                <w:rFonts w:hint="eastAsia"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注：本项目以</w:t>
            </w:r>
            <w:r>
              <w:rPr>
                <w:rFonts w:hint="eastAsia" w:cs="Times New Roman"/>
                <w:b/>
                <w:bCs/>
                <w:color w:val="auto"/>
                <w:sz w:val="21"/>
                <w:szCs w:val="21"/>
                <w:highlight w:val="none"/>
                <w:lang w:val="en-US" w:eastAsia="zh-CN"/>
              </w:rPr>
              <w:t>厂区排气筒</w:t>
            </w:r>
            <w:r>
              <w:rPr>
                <w:rFonts w:hint="eastAsia" w:ascii="Times New Roman" w:hAnsi="Times New Roman" w:eastAsia="宋体" w:cs="Times New Roman"/>
                <w:b/>
                <w:bCs/>
                <w:color w:val="auto"/>
                <w:sz w:val="21"/>
                <w:szCs w:val="21"/>
                <w:highlight w:val="none"/>
                <w:lang w:val="en-US" w:eastAsia="zh-CN"/>
              </w:rPr>
              <w:t>为坐标原点，正</w:t>
            </w:r>
            <w:r>
              <w:rPr>
                <w:rFonts w:hint="eastAsia" w:cs="Times New Roman"/>
                <w:b/>
                <w:bCs/>
                <w:color w:val="auto"/>
                <w:sz w:val="21"/>
                <w:szCs w:val="21"/>
                <w:highlight w:val="none"/>
                <w:lang w:val="en-US" w:eastAsia="zh-CN"/>
              </w:rPr>
              <w:t>东</w:t>
            </w:r>
            <w:r>
              <w:rPr>
                <w:rFonts w:hint="eastAsia" w:ascii="Times New Roman" w:hAnsi="Times New Roman" w:eastAsia="宋体" w:cs="Times New Roman"/>
                <w:b/>
                <w:bCs/>
                <w:color w:val="auto"/>
                <w:sz w:val="21"/>
                <w:szCs w:val="21"/>
                <w:highlight w:val="none"/>
                <w:lang w:val="en-US" w:eastAsia="zh-CN"/>
              </w:rPr>
              <w:t>向为X轴正方向，正北向为Y轴正方向，</w:t>
            </w:r>
            <w:r>
              <w:rPr>
                <w:rFonts w:hint="eastAsia"/>
                <w:b/>
                <w:bCs/>
                <w:color w:val="auto"/>
                <w:sz w:val="21"/>
                <w:szCs w:val="18"/>
                <w:lang w:val="en-US" w:eastAsia="zh-CN"/>
              </w:rPr>
              <w:t>厂区地面高程为Z</w:t>
            </w:r>
            <w:r>
              <w:rPr>
                <w:rFonts w:hint="eastAsia" w:ascii="Times New Roman" w:hAnsi="Times New Roman" w:eastAsia="宋体" w:cs="Times New Roman"/>
                <w:b/>
                <w:bCs/>
                <w:color w:val="auto"/>
                <w:sz w:val="21"/>
                <w:szCs w:val="21"/>
                <w:highlight w:val="none"/>
                <w:lang w:val="en-US" w:eastAsia="zh-CN"/>
              </w:rPr>
              <w:t>轴</w:t>
            </w:r>
            <w:r>
              <w:rPr>
                <w:rFonts w:hint="eastAsia" w:cs="Times New Roman"/>
                <w:b/>
                <w:bCs/>
                <w:color w:val="auto"/>
                <w:sz w:val="21"/>
                <w:szCs w:val="21"/>
                <w:highlight w:val="none"/>
                <w:lang w:val="en-US" w:eastAsia="zh-CN"/>
              </w:rPr>
              <w:t>。</w:t>
            </w:r>
          </w:p>
          <w:p w14:paraId="5E28A48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lang w:val="en-US" w:eastAsia="zh-CN"/>
              </w:rPr>
              <w:t>本项目</w:t>
            </w:r>
            <w:r>
              <w:rPr>
                <w:rFonts w:hint="default" w:ascii="Times New Roman" w:hAnsi="Times New Roman" w:eastAsia="宋体" w:cs="Times New Roman"/>
                <w:color w:val="auto"/>
                <w:sz w:val="24"/>
                <w:highlight w:val="none"/>
              </w:rPr>
              <w:t>采取的具体</w:t>
            </w:r>
            <w:r>
              <w:rPr>
                <w:rFonts w:hint="default" w:ascii="Times New Roman" w:hAnsi="Times New Roman" w:eastAsia="宋体" w:cs="Times New Roman"/>
                <w:color w:val="auto"/>
                <w:sz w:val="24"/>
                <w:highlight w:val="none"/>
                <w:lang w:val="en-US" w:eastAsia="zh-CN"/>
              </w:rPr>
              <w:t>噪声</w:t>
            </w:r>
            <w:r>
              <w:rPr>
                <w:rFonts w:hint="default" w:ascii="Times New Roman" w:hAnsi="Times New Roman" w:eastAsia="宋体" w:cs="Times New Roman"/>
                <w:color w:val="auto"/>
                <w:sz w:val="24"/>
                <w:highlight w:val="none"/>
              </w:rPr>
              <w:t>治理措施如下：</w:t>
            </w:r>
          </w:p>
          <w:p w14:paraId="0B820AC3">
            <w:pPr>
              <w:pStyle w:val="87"/>
              <w:ind w:firstLine="480" w:firstLineChars="200"/>
              <w:rPr>
                <w:rFonts w:hint="default" w:ascii="Times New Roman" w:hAnsi="Times New Roman" w:eastAsia="宋体" w:cs="Times New Roman"/>
                <w:color w:val="auto"/>
              </w:rPr>
            </w:pPr>
            <w:r>
              <w:rPr>
                <w:rFonts w:hint="eastAsia" w:ascii="宋体" w:hAnsi="宋体" w:eastAsia="宋体" w:cs="宋体"/>
                <w:color w:val="auto"/>
                <w:kern w:val="2"/>
                <w:szCs w:val="24"/>
                <w:lang w:eastAsia="zh-CN"/>
              </w:rPr>
              <w:t>①</w:t>
            </w:r>
            <w:r>
              <w:rPr>
                <w:rFonts w:hint="default" w:ascii="Times New Roman" w:hAnsi="Times New Roman" w:eastAsia="宋体" w:cs="Times New Roman"/>
                <w:color w:val="auto"/>
                <w:kern w:val="2"/>
                <w:szCs w:val="24"/>
              </w:rPr>
              <w:t>在满足工艺设计的前提下，尽量选用低噪声、低振动型号的设备，降低噪声源强。</w:t>
            </w:r>
          </w:p>
          <w:p w14:paraId="3085B401">
            <w:pPr>
              <w:pStyle w:val="87"/>
              <w:ind w:firstLine="480" w:firstLineChars="200"/>
              <w:rPr>
                <w:rFonts w:hint="default" w:ascii="Times New Roman" w:hAnsi="Times New Roman" w:eastAsia="宋体" w:cs="Times New Roman"/>
                <w:color w:val="auto"/>
              </w:rPr>
            </w:pPr>
            <w:r>
              <w:rPr>
                <w:rFonts w:hint="eastAsia" w:ascii="宋体" w:hAnsi="宋体" w:eastAsia="宋体" w:cs="宋体"/>
                <w:color w:val="auto"/>
                <w:lang w:eastAsia="zh-CN"/>
              </w:rPr>
              <w:t>②</w:t>
            </w:r>
            <w:r>
              <w:rPr>
                <w:rFonts w:hint="default" w:ascii="Times New Roman" w:hAnsi="Times New Roman" w:eastAsia="宋体" w:cs="Times New Roman"/>
                <w:color w:val="auto"/>
              </w:rPr>
              <w:t>产噪声设备均安置在</w:t>
            </w:r>
            <w:r>
              <w:rPr>
                <w:rFonts w:hint="default" w:ascii="Times New Roman" w:hAnsi="Times New Roman" w:eastAsia="宋体" w:cs="Times New Roman"/>
                <w:color w:val="auto"/>
                <w:lang w:val="en-US" w:eastAsia="zh-CN"/>
              </w:rPr>
              <w:t>车间</w:t>
            </w:r>
            <w:r>
              <w:rPr>
                <w:rFonts w:hint="default" w:ascii="Times New Roman" w:hAnsi="Times New Roman" w:eastAsia="宋体" w:cs="Times New Roman"/>
                <w:color w:val="auto"/>
              </w:rPr>
              <w:t>内，利用建筑隔声。</w:t>
            </w:r>
          </w:p>
          <w:p w14:paraId="5CA08A20">
            <w:pPr>
              <w:pStyle w:val="87"/>
              <w:ind w:firstLine="480" w:firstLineChars="200"/>
              <w:rPr>
                <w:rFonts w:hint="default" w:ascii="Times New Roman" w:hAnsi="Times New Roman" w:eastAsia="宋体" w:cs="Times New Roman"/>
                <w:color w:val="auto"/>
              </w:rPr>
            </w:pPr>
            <w:r>
              <w:rPr>
                <w:rFonts w:hint="eastAsia" w:ascii="宋体" w:hAnsi="宋体" w:eastAsia="宋体" w:cs="宋体"/>
                <w:color w:val="auto"/>
                <w:lang w:eastAsia="zh-CN"/>
              </w:rPr>
              <w:t>③</w:t>
            </w:r>
            <w:r>
              <w:rPr>
                <w:rFonts w:hint="eastAsia" w:ascii="Times New Roman" w:hAnsi="Times New Roman" w:cs="Times New Roman"/>
                <w:color w:val="auto"/>
                <w:lang w:val="en-US" w:eastAsia="zh-CN"/>
              </w:rPr>
              <w:t>大型设备</w:t>
            </w:r>
            <w:r>
              <w:rPr>
                <w:rFonts w:hint="default" w:ascii="Times New Roman" w:hAnsi="Times New Roman" w:eastAsia="宋体" w:cs="Times New Roman"/>
                <w:color w:val="auto"/>
              </w:rPr>
              <w:t>安装减震垫。</w:t>
            </w:r>
          </w:p>
          <w:p w14:paraId="2E1B6761">
            <w:pPr>
              <w:spacing w:line="360" w:lineRule="auto"/>
              <w:ind w:firstLine="470"/>
              <w:rPr>
                <w:rFonts w:hint="default" w:ascii="Times New Roman" w:hAnsi="Times New Roman" w:eastAsia="宋体" w:cs="Times New Roman"/>
                <w:color w:val="auto"/>
                <w:sz w:val="24"/>
                <w:highlight w:val="none"/>
              </w:rPr>
            </w:pPr>
            <w:r>
              <w:rPr>
                <w:rFonts w:hint="eastAsia" w:ascii="宋体" w:hAnsi="宋体" w:eastAsia="宋体" w:cs="宋体"/>
                <w:color w:val="auto"/>
                <w:sz w:val="24"/>
                <w:highlight w:val="none"/>
              </w:rPr>
              <w:t>④</w:t>
            </w:r>
            <w:r>
              <w:rPr>
                <w:rFonts w:hint="default" w:ascii="Times New Roman" w:hAnsi="Times New Roman" w:eastAsia="宋体" w:cs="Times New Roman"/>
                <w:color w:val="auto"/>
                <w:sz w:val="24"/>
                <w:highlight w:val="none"/>
              </w:rPr>
              <w:t>风机</w:t>
            </w:r>
            <w:r>
              <w:rPr>
                <w:rFonts w:hint="eastAsia" w:ascii="Times New Roman" w:hAnsi="Times New Roman" w:cs="Times New Roman"/>
                <w:color w:val="auto"/>
                <w:sz w:val="24"/>
                <w:highlight w:val="none"/>
                <w:lang w:val="en-US" w:eastAsia="zh-CN"/>
              </w:rPr>
              <w:t>等</w:t>
            </w:r>
            <w:r>
              <w:rPr>
                <w:rFonts w:hint="default" w:ascii="Times New Roman" w:hAnsi="Times New Roman" w:eastAsia="宋体" w:cs="Times New Roman"/>
                <w:color w:val="auto"/>
                <w:sz w:val="24"/>
                <w:highlight w:val="none"/>
              </w:rPr>
              <w:t>安装消声器，同时风机安装减振底座，加装隔声罩壳。</w:t>
            </w:r>
          </w:p>
          <w:p w14:paraId="7558765C">
            <w:pPr>
              <w:spacing w:line="360" w:lineRule="auto"/>
              <w:ind w:firstLine="470"/>
              <w:rPr>
                <w:rFonts w:hint="default"/>
                <w:color w:val="auto"/>
                <w:lang w:val="en-US" w:eastAsia="zh-CN"/>
              </w:rPr>
            </w:pPr>
            <w:r>
              <w:rPr>
                <w:rFonts w:hint="eastAsia" w:ascii="宋体" w:hAnsi="宋体" w:eastAsia="宋体" w:cs="宋体"/>
                <w:color w:val="auto"/>
                <w:sz w:val="24"/>
                <w:szCs w:val="24"/>
                <w:lang w:eastAsia="zh-CN"/>
              </w:rPr>
              <w:t>⑤</w:t>
            </w:r>
            <w:r>
              <w:rPr>
                <w:rFonts w:hint="default" w:ascii="Times New Roman" w:hAnsi="Times New Roman" w:eastAsia="宋体" w:cs="Times New Roman"/>
                <w:color w:val="auto"/>
                <w:sz w:val="24"/>
                <w:szCs w:val="24"/>
                <w:highlight w:val="none"/>
                <w:lang w:val="en-US" w:eastAsia="zh-CN"/>
              </w:rPr>
              <w:t>生产</w:t>
            </w:r>
            <w:r>
              <w:rPr>
                <w:rFonts w:hint="default" w:ascii="Times New Roman" w:hAnsi="Times New Roman" w:eastAsia="宋体" w:cs="Times New Roman"/>
                <w:color w:val="auto"/>
                <w:sz w:val="24"/>
                <w:highlight w:val="none"/>
              </w:rPr>
              <w:t>设备</w:t>
            </w:r>
            <w:r>
              <w:rPr>
                <w:rFonts w:hint="default" w:ascii="Times New Roman" w:hAnsi="Times New Roman" w:eastAsia="宋体" w:cs="Times New Roman"/>
                <w:color w:val="auto"/>
                <w:sz w:val="24"/>
                <w:highlight w:val="none"/>
                <w:lang w:val="en-US" w:eastAsia="zh-CN"/>
              </w:rPr>
              <w:t>应</w:t>
            </w:r>
            <w:r>
              <w:rPr>
                <w:rFonts w:hint="default" w:ascii="Times New Roman" w:hAnsi="Times New Roman" w:eastAsia="宋体" w:cs="Times New Roman"/>
                <w:color w:val="auto"/>
                <w:sz w:val="24"/>
                <w:highlight w:val="none"/>
              </w:rPr>
              <w:t>定期检查和</w:t>
            </w:r>
            <w:r>
              <w:rPr>
                <w:rFonts w:hint="default" w:ascii="Times New Roman" w:hAnsi="Times New Roman" w:eastAsia="宋体" w:cs="Times New Roman"/>
                <w:color w:val="auto"/>
                <w:sz w:val="24"/>
                <w:highlight w:val="none"/>
                <w:lang w:val="en-US" w:eastAsia="zh-CN"/>
              </w:rPr>
              <w:t>维护保养</w:t>
            </w:r>
            <w:r>
              <w:rPr>
                <w:rFonts w:hint="default" w:ascii="Times New Roman" w:hAnsi="Times New Roman" w:eastAsia="宋体" w:cs="Times New Roman"/>
                <w:color w:val="auto"/>
                <w:sz w:val="24"/>
                <w:highlight w:val="none"/>
              </w:rPr>
              <w:t>，以减少设备非正常运转产生的噪声。</w:t>
            </w:r>
          </w:p>
          <w:p w14:paraId="1A7904E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）噪声预测模式</w:t>
            </w:r>
          </w:p>
          <w:p w14:paraId="372A7D4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根据噪声的衰减和叠加</w:t>
            </w:r>
            <w:r>
              <w:rPr>
                <w:color w:val="000000" w:themeColor="text1"/>
                <w:sz w:val="24"/>
                <w:szCs w:val="24"/>
                <w:highlight w:val="none"/>
                <w14:textFill>
                  <w14:solidFill>
                    <w14:schemeClr w14:val="tx1"/>
                  </w14:solidFill>
                </w14:textFill>
              </w:rPr>
              <w:t>特征，本评价采用《环境影响评价技术导则</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声环境</w:t>
            </w:r>
            <w:r>
              <w:rPr>
                <w:rFonts w:hint="eastAsia"/>
                <w:b w:val="0"/>
                <w:bCs w:val="0"/>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HJ 2.4</w:t>
            </w:r>
            <w:r>
              <w:rPr>
                <w:rFonts w:hint="eastAsia"/>
                <w:color w:val="000000" w:themeColor="text1"/>
                <w:sz w:val="24"/>
                <w:szCs w:val="24"/>
                <w:highlight w:val="none"/>
                <w:lang w:val="en-US" w:eastAsia="zh-CN"/>
                <w14:textFill>
                  <w14:solidFill>
                    <w14:schemeClr w14:val="tx1"/>
                  </w14:solidFill>
                </w14:textFill>
              </w:rPr>
              <w:t>-</w:t>
            </w: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021）声级预测模式进行预测</w:t>
            </w:r>
            <w:r>
              <w:rPr>
                <w:color w:val="000000" w:themeColor="text1"/>
                <w:sz w:val="24"/>
                <w:szCs w:val="24"/>
                <w:highlight w:val="none"/>
                <w14:textFill>
                  <w14:solidFill>
                    <w14:schemeClr w14:val="tx1"/>
                  </w14:solidFill>
                </w14:textFill>
              </w:rPr>
              <w:t>，模式如下：</w:t>
            </w:r>
          </w:p>
          <w:p w14:paraId="6FD35C76">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①室内声源</w:t>
            </w:r>
          </w:p>
          <w:p w14:paraId="7384D1F6">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厂房内有 </w:t>
            </w:r>
            <w:r>
              <w:rPr>
                <w:rFonts w:hint="default"/>
                <w:color w:val="000000" w:themeColor="text1"/>
                <w:sz w:val="24"/>
                <w:szCs w:val="24"/>
                <w:highlight w:val="none"/>
                <w:lang w:val="en-US" w:eastAsia="zh-CN"/>
                <w14:textFill>
                  <w14:solidFill>
                    <w14:schemeClr w14:val="tx1"/>
                  </w14:solidFill>
                </w14:textFill>
              </w:rPr>
              <w:t xml:space="preserve">K </w:t>
            </w:r>
            <w:r>
              <w:rPr>
                <w:rFonts w:hint="eastAsia"/>
                <w:color w:val="000000" w:themeColor="text1"/>
                <w:sz w:val="24"/>
                <w:szCs w:val="24"/>
                <w:highlight w:val="none"/>
                <w:lang w:val="en-US" w:eastAsia="zh-CN"/>
                <w14:textFill>
                  <w14:solidFill>
                    <w14:schemeClr w14:val="tx1"/>
                  </w14:solidFill>
                </w14:textFill>
              </w:rPr>
              <w:t xml:space="preserve">个噪声源时，第 </w:t>
            </w:r>
            <w:r>
              <w:rPr>
                <w:rFonts w:hint="default"/>
                <w:color w:val="000000" w:themeColor="text1"/>
                <w:sz w:val="24"/>
                <w:szCs w:val="24"/>
                <w:highlight w:val="none"/>
                <w:lang w:val="en-US" w:eastAsia="zh-CN"/>
                <w14:textFill>
                  <w14:solidFill>
                    <w14:schemeClr w14:val="tx1"/>
                  </w14:solidFill>
                </w14:textFill>
              </w:rPr>
              <w:t xml:space="preserve">i </w:t>
            </w:r>
            <w:r>
              <w:rPr>
                <w:rFonts w:hint="eastAsia"/>
                <w:color w:val="000000" w:themeColor="text1"/>
                <w:sz w:val="24"/>
                <w:szCs w:val="24"/>
                <w:highlight w:val="none"/>
                <w:lang w:val="en-US" w:eastAsia="zh-CN"/>
                <w14:textFill>
                  <w14:solidFill>
                    <w14:schemeClr w14:val="tx1"/>
                  </w14:solidFill>
                </w14:textFill>
              </w:rPr>
              <w:t xml:space="preserve">个声源在室内靠近围护结构（门、窗、墙体）某点处的 </w:t>
            </w:r>
            <w:r>
              <w:rPr>
                <w:rFonts w:hint="default"/>
                <w:color w:val="000000" w:themeColor="text1"/>
                <w:sz w:val="24"/>
                <w:szCs w:val="24"/>
                <w:highlight w:val="none"/>
                <w:lang w:val="en-US" w:eastAsia="zh-CN"/>
                <w14:textFill>
                  <w14:solidFill>
                    <w14:schemeClr w14:val="tx1"/>
                  </w14:solidFill>
                </w14:textFill>
              </w:rPr>
              <w:t xml:space="preserve">A </w:t>
            </w:r>
            <w:r>
              <w:rPr>
                <w:rFonts w:hint="eastAsia"/>
                <w:color w:val="000000" w:themeColor="text1"/>
                <w:sz w:val="24"/>
                <w:szCs w:val="24"/>
                <w:highlight w:val="none"/>
                <w:lang w:val="en-US" w:eastAsia="zh-CN"/>
                <w14:textFill>
                  <w14:solidFill>
                    <w14:schemeClr w14:val="tx1"/>
                  </w14:solidFill>
                </w14:textFill>
              </w:rPr>
              <w:t>声级：</w:t>
            </w:r>
          </w:p>
          <w:p w14:paraId="20916812">
            <w:pPr>
              <w:pStyle w:val="53"/>
              <w:keepNext w:val="0"/>
              <w:keepLines w:val="0"/>
              <w:pageBreakBefore w:val="0"/>
              <w:widowControl w:val="0"/>
              <w:kinsoku/>
              <w:wordWrap/>
              <w:overflowPunct/>
              <w:topLinePunct w:val="0"/>
              <w:bidi w:val="0"/>
              <w:adjustRightInd w:val="0"/>
              <w:snapToGrid w:val="0"/>
              <w:spacing w:line="360" w:lineRule="auto"/>
              <w:jc w:val="center"/>
              <w:textAlignment w:val="auto"/>
              <w:rPr>
                <w:color w:val="000000" w:themeColor="text1"/>
                <w:highlight w:val="none"/>
                <w14:textFill>
                  <w14:solidFill>
                    <w14:schemeClr w14:val="tx1"/>
                  </w14:solidFill>
                </w14:textFill>
              </w:rPr>
            </w:pPr>
            <m:oMathPara>
              <m:oMath>
                <m:sSub>
                  <m:sSubPr>
                    <m:ctrlPr>
                      <w:rPr>
                        <w:rFonts w:hint="default" w:ascii="Cambria Math" w:hAnsi="Cambria Math"/>
                        <w:color w:val="000000"/>
                        <w:highlight w:val="none"/>
                        <w:lang w:val="en-US" w:eastAsia="zh-CN"/>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lang w:val="en-US" w:eastAsia="zh-CN"/>
                      </w:rPr>
                    </m:ctrlPr>
                  </m:e>
                  <m:sub>
                    <m:r>
                      <m:rPr>
                        <m:sty m:val="p"/>
                      </m:rPr>
                      <w:rPr>
                        <w:rFonts w:hint="default" w:ascii="Cambria Math" w:hAnsi="Cambria Math"/>
                        <w:color w:val="000000"/>
                        <w:highlight w:val="none"/>
                        <w:lang w:val="en-US" w:eastAsia="zh-CN"/>
                      </w:rPr>
                      <m:t>p1</m:t>
                    </m:r>
                    <m:ctrlPr>
                      <w:rPr>
                        <w:rFonts w:hint="default" w:ascii="Cambria Math" w:hAnsi="Cambria Math"/>
                        <w:color w:val="000000"/>
                        <w:highlight w:val="none"/>
                        <w:lang w:val="en-US" w:eastAsia="zh-CN"/>
                      </w:rPr>
                    </m:ctrlPr>
                  </m:sub>
                </m:sSub>
                <m:r>
                  <m:rPr>
                    <m:sty m:val="p"/>
                  </m:rPr>
                  <w:rPr>
                    <w:rFonts w:hint="default" w:ascii="Cambria Math" w:hAnsi="Cambria Math"/>
                    <w:color w:val="000000"/>
                    <w:highlight w:val="none"/>
                  </w:rPr>
                  <m:t>=</m:t>
                </m:r>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w</m:t>
                    </m:r>
                    <m:ctrlPr>
                      <w:rPr>
                        <w:rFonts w:hint="default" w:ascii="Cambria Math" w:hAnsi="Cambria Math"/>
                        <w:color w:val="000000"/>
                        <w:highlight w:val="none"/>
                      </w:rPr>
                    </m:ctrlPr>
                  </m:sub>
                </m:sSub>
                <m:r>
                  <m:rPr>
                    <m:sty m:val="p"/>
                  </m:rPr>
                  <w:rPr>
                    <w:rFonts w:hint="default" w:ascii="Cambria Math" w:hAnsi="Cambria Math"/>
                    <w:color w:val="000000"/>
                    <w:highlight w:val="none"/>
                    <w:lang w:val="en-US" w:eastAsia="zh-CN"/>
                  </w:rPr>
                  <m:t>+10lg</m:t>
                </m:r>
                <m:d>
                  <m:dPr>
                    <m:ctrlPr>
                      <w:rPr>
                        <w:rFonts w:hint="default" w:ascii="Cambria Math" w:hAnsi="Cambria Math"/>
                        <w:color w:val="000000"/>
                        <w:highlight w:val="none"/>
                        <w:lang w:val="en-US" w:eastAsia="zh-CN"/>
                      </w:rPr>
                    </m:ctrlPr>
                  </m:dPr>
                  <m:e>
                    <m:f>
                      <m:fPr>
                        <m:ctrlPr>
                          <w:rPr>
                            <w:rFonts w:hint="default" w:ascii="Cambria Math" w:hAnsi="Cambria Math"/>
                            <w:color w:val="000000"/>
                            <w:highlight w:val="none"/>
                            <w:lang w:val="en-US" w:eastAsia="zh-CN"/>
                          </w:rPr>
                        </m:ctrlPr>
                      </m:fPr>
                      <m:num>
                        <m:r>
                          <m:rPr>
                            <m:sty m:val="p"/>
                          </m:rPr>
                          <w:rPr>
                            <w:rFonts w:hint="default" w:ascii="Cambria Math" w:hAnsi="Cambria Math"/>
                            <w:color w:val="000000"/>
                            <w:highlight w:val="none"/>
                            <w:lang w:val="en-US" w:eastAsia="zh-CN"/>
                          </w:rPr>
                          <m:t>Q</m:t>
                        </m:r>
                        <m:ctrlPr>
                          <w:rPr>
                            <w:rFonts w:hint="default" w:ascii="Cambria Math" w:hAnsi="Cambria Math"/>
                            <w:color w:val="000000"/>
                            <w:highlight w:val="none"/>
                            <w:lang w:val="en-US" w:eastAsia="zh-CN"/>
                          </w:rPr>
                        </m:ctrlPr>
                      </m:num>
                      <m:den>
                        <m:r>
                          <m:rPr>
                            <m:sty m:val="p"/>
                          </m:rPr>
                          <w:rPr>
                            <w:rFonts w:hint="default" w:ascii="Cambria Math" w:hAnsi="Cambria Math"/>
                            <w:color w:val="000000"/>
                            <w:highlight w:val="none"/>
                            <w:lang w:val="en-US" w:eastAsia="zh-CN"/>
                          </w:rPr>
                          <m:t>4</m:t>
                        </m:r>
                        <m:r>
                          <m:rPr>
                            <m:sty m:val="p"/>
                          </m:rPr>
                          <w:rPr>
                            <w:rFonts w:hint="default" w:ascii="Cambria Math" w:hAnsi="Cambria Math"/>
                            <w:color w:val="000000"/>
                            <w:highlight w:val="none"/>
                            <w:lang w:val="en-US"/>
                          </w:rPr>
                          <m:t>π</m:t>
                        </m:r>
                        <m:sSup>
                          <m:sSupPr>
                            <m:ctrlPr>
                              <w:rPr>
                                <w:rFonts w:hint="default" w:ascii="Cambria Math" w:hAnsi="Cambria Math"/>
                                <w:color w:val="000000"/>
                                <w:highlight w:val="none"/>
                                <w:lang w:val="en-US"/>
                              </w:rPr>
                            </m:ctrlPr>
                          </m:sSupPr>
                          <m:e>
                            <m:r>
                              <m:rPr>
                                <m:sty m:val="p"/>
                              </m:rPr>
                              <w:rPr>
                                <w:rFonts w:hint="default" w:ascii="Cambria Math" w:hAnsi="Cambria Math"/>
                                <w:color w:val="000000"/>
                                <w:highlight w:val="none"/>
                                <w:lang w:val="en-US" w:eastAsia="zh-CN"/>
                              </w:rPr>
                              <m:t>r</m:t>
                            </m:r>
                            <m:ctrlPr>
                              <w:rPr>
                                <w:rFonts w:hint="default" w:ascii="Cambria Math" w:hAnsi="Cambria Math"/>
                                <w:color w:val="000000"/>
                                <w:highlight w:val="none"/>
                                <w:lang w:val="en-US"/>
                              </w:rPr>
                            </m:ctrlPr>
                          </m:e>
                          <m:sup>
                            <m:r>
                              <m:rPr>
                                <m:sty m:val="p"/>
                              </m:rPr>
                              <w:rPr>
                                <w:rFonts w:hint="default" w:ascii="Cambria Math" w:hAnsi="Cambria Math"/>
                                <w:color w:val="000000"/>
                                <w:highlight w:val="none"/>
                                <w:lang w:val="en-US" w:eastAsia="zh-CN"/>
                              </w:rPr>
                              <m:t>2</m:t>
                            </m:r>
                            <m:ctrlPr>
                              <w:rPr>
                                <w:rFonts w:hint="default" w:ascii="Cambria Math" w:hAnsi="Cambria Math"/>
                                <w:color w:val="000000"/>
                                <w:highlight w:val="none"/>
                                <w:lang w:val="en-US"/>
                              </w:rPr>
                            </m:ctrlPr>
                          </m:sup>
                        </m:sSup>
                        <m:ctrlPr>
                          <w:rPr>
                            <w:rFonts w:hint="default" w:ascii="Cambria Math" w:hAnsi="Cambria Math"/>
                            <w:color w:val="000000"/>
                            <w:highlight w:val="none"/>
                            <w:lang w:val="en-US" w:eastAsia="zh-CN"/>
                          </w:rPr>
                        </m:ctrlPr>
                      </m:den>
                    </m:f>
                    <m:r>
                      <m:rPr>
                        <m:sty m:val="p"/>
                      </m:rPr>
                      <w:rPr>
                        <w:rFonts w:hint="default" w:ascii="Cambria Math" w:hAnsi="Cambria Math"/>
                        <w:color w:val="000000"/>
                        <w:highlight w:val="none"/>
                        <w:lang w:val="en-US" w:eastAsia="zh-CN"/>
                      </w:rPr>
                      <m:t>+</m:t>
                    </m:r>
                    <m:f>
                      <m:fPr>
                        <m:ctrlPr>
                          <w:rPr>
                            <w:rFonts w:hint="default" w:ascii="Cambria Math" w:hAnsi="Cambria Math"/>
                            <w:color w:val="000000"/>
                            <w:highlight w:val="none"/>
                            <w:lang w:val="en-US" w:eastAsia="zh-CN"/>
                          </w:rPr>
                        </m:ctrlPr>
                      </m:fPr>
                      <m:num>
                        <m:r>
                          <m:rPr>
                            <m:sty m:val="p"/>
                          </m:rPr>
                          <w:rPr>
                            <w:rFonts w:hint="default" w:ascii="Cambria Math" w:hAnsi="Cambria Math"/>
                            <w:color w:val="000000"/>
                            <w:highlight w:val="none"/>
                            <w:lang w:val="en-US" w:eastAsia="zh-CN"/>
                          </w:rPr>
                          <m:t>4</m:t>
                        </m:r>
                        <m:ctrlPr>
                          <w:rPr>
                            <w:rFonts w:hint="default" w:ascii="Cambria Math" w:hAnsi="Cambria Math"/>
                            <w:color w:val="000000"/>
                            <w:highlight w:val="none"/>
                            <w:lang w:val="en-US" w:eastAsia="zh-CN"/>
                          </w:rPr>
                        </m:ctrlPr>
                      </m:num>
                      <m:den>
                        <m:r>
                          <m:rPr>
                            <m:sty m:val="p"/>
                          </m:rPr>
                          <w:rPr>
                            <w:rFonts w:hint="default" w:ascii="Cambria Math" w:hAnsi="Cambria Math"/>
                            <w:color w:val="000000"/>
                            <w:highlight w:val="none"/>
                            <w:lang w:val="en-US" w:eastAsia="zh-CN"/>
                          </w:rPr>
                          <m:t>R</m:t>
                        </m:r>
                        <m:ctrlPr>
                          <w:rPr>
                            <w:rFonts w:hint="default" w:ascii="Cambria Math" w:hAnsi="Cambria Math"/>
                            <w:color w:val="000000"/>
                            <w:highlight w:val="none"/>
                            <w:lang w:val="en-US" w:eastAsia="zh-CN"/>
                          </w:rPr>
                        </m:ctrlPr>
                      </m:den>
                    </m:f>
                    <m:ctrlPr>
                      <w:rPr>
                        <w:rFonts w:hint="default" w:ascii="Cambria Math" w:hAnsi="Cambria Math"/>
                        <w:color w:val="000000"/>
                        <w:highlight w:val="none"/>
                        <w:lang w:val="en-US" w:eastAsia="zh-CN"/>
                      </w:rPr>
                    </m:ctrlPr>
                  </m:e>
                </m:d>
              </m:oMath>
            </m:oMathPara>
          </w:p>
          <w:p w14:paraId="0F1A28C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center"/>
              <w:textAlignment w:val="auto"/>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p w14:paraId="5E1D669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式中：L</w:t>
            </w:r>
            <w:r>
              <w:rPr>
                <w:rFonts w:hint="default"/>
                <w:color w:val="000000" w:themeColor="text1"/>
                <w:sz w:val="24"/>
                <w:szCs w:val="24"/>
                <w:highlight w:val="none"/>
                <w:vertAlign w:val="subscript"/>
                <w14:textFill>
                  <w14:solidFill>
                    <w14:schemeClr w14:val="tx1"/>
                  </w14:solidFill>
                </w14:textFill>
              </w:rPr>
              <w:t>p1</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靠近开口处（或窗户）室内某倍频带的声压级或A声级，dB；</w:t>
            </w:r>
          </w:p>
          <w:p w14:paraId="32CB860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Lw</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点声源声功率级（A计权或倍频带），dB；</w:t>
            </w:r>
          </w:p>
          <w:p w14:paraId="1B152D3C">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Q</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指向性因数；通常对无指向性声源，当声源放在房间中心时，Q=1；当放在一面墙的中心时，Q=2；当放在两面墙夹角处时，Q=4；当放在三面墙夹角处时，Q=8；</w:t>
            </w:r>
          </w:p>
          <w:p w14:paraId="25732FFC">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R</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房间常数</w:t>
            </w:r>
            <w:r>
              <w:rPr>
                <w:rFonts w:hint="eastAsia"/>
                <w:color w:val="000000" w:themeColor="text1"/>
                <w:sz w:val="24"/>
                <w:szCs w:val="24"/>
                <w:highlight w:val="none"/>
                <w:lang w:eastAsia="zh-CN"/>
                <w14:textFill>
                  <w14:solidFill>
                    <w14:schemeClr w14:val="tx1"/>
                  </w14:solidFill>
                </w14:textFill>
              </w:rPr>
              <w:t>；</w:t>
            </w:r>
            <m:oMath>
              <m:r>
                <m:rPr>
                  <m:sty m:val="p"/>
                </m:rPr>
                <w:rPr>
                  <w:rFonts w:hint="default" w:ascii="Cambria Math" w:hAnsi="Cambria Math"/>
                  <w:color w:val="000000"/>
                  <w:highlight w:val="none"/>
                  <w:lang w:val="en-US" w:eastAsia="zh-CN"/>
                </w:rPr>
                <m:t>R</m:t>
              </m:r>
              <m:r>
                <m:rPr>
                  <m:sty m:val="p"/>
                </m:rPr>
                <w:rPr>
                  <w:rFonts w:hint="default" w:ascii="Cambria Math" w:hAnsi="Cambria Math"/>
                  <w:color w:val="000000"/>
                  <w:highlight w:val="none"/>
                </w:rPr>
                <m:t>=</m:t>
              </m:r>
              <m:r>
                <m:rPr>
                  <m:sty m:val="p"/>
                </m:rPr>
                <w:rPr>
                  <w:rFonts w:hint="default" w:ascii="Cambria Math" w:hAnsi="Cambria Math"/>
                  <w:color w:val="000000"/>
                  <w:highlight w:val="none"/>
                  <w:lang w:val="en-US" w:eastAsia="zh-CN"/>
                </w:rPr>
                <m:t>Sa/</m:t>
              </m:r>
              <m:d>
                <m:dPr>
                  <m:ctrlPr>
                    <w:rPr>
                      <w:rFonts w:hint="default" w:ascii="Cambria Math" w:hAnsi="Cambria Math"/>
                      <w:color w:val="000000"/>
                      <w:highlight w:val="none"/>
                      <w:lang w:val="en-US" w:eastAsia="zh-CN"/>
                    </w:rPr>
                  </m:ctrlPr>
                </m:dPr>
                <m:e>
                  <m:r>
                    <m:rPr>
                      <m:sty m:val="p"/>
                    </m:rPr>
                    <w:rPr>
                      <w:rFonts w:hint="default" w:ascii="Cambria Math" w:hAnsi="Cambria Math"/>
                      <w:color w:val="000000"/>
                      <w:highlight w:val="none"/>
                      <w:lang w:val="en-US" w:eastAsia="zh-CN"/>
                    </w:rPr>
                    <m:t>1−a</m:t>
                  </m:r>
                  <m:ctrlPr>
                    <w:rPr>
                      <w:rFonts w:hint="default" w:ascii="Cambria Math" w:hAnsi="Cambria Math"/>
                      <w:color w:val="000000"/>
                      <w:highlight w:val="none"/>
                      <w:lang w:val="en-US" w:eastAsia="zh-CN"/>
                    </w:rPr>
                  </m:ctrlPr>
                </m:e>
              </m:d>
            </m:oMath>
            <w:r>
              <w:rPr>
                <w:rFonts w:hint="default"/>
                <w:color w:val="000000" w:themeColor="text1"/>
                <w:sz w:val="24"/>
                <w:szCs w:val="24"/>
                <w:highlight w:val="none"/>
                <w14:textFill>
                  <w14:solidFill>
                    <w14:schemeClr w14:val="tx1"/>
                  </w14:solidFill>
                </w14:textFill>
              </w:rPr>
              <w:t>，S为房间内表面面积，m</w:t>
            </w:r>
            <w:r>
              <w:rPr>
                <w:rFonts w:hint="eastAsia"/>
                <w:color w:val="000000" w:themeColor="text1"/>
                <w:sz w:val="24"/>
                <w:szCs w:val="24"/>
                <w:highlight w:val="none"/>
                <w:vertAlign w:val="superscript"/>
                <w:lang w:val="en-US" w:eastAsia="zh-CN"/>
                <w14:textFill>
                  <w14:solidFill>
                    <w14:schemeClr w14:val="tx1"/>
                  </w14:solidFill>
                </w14:textFill>
              </w:rPr>
              <w:t>2</w:t>
            </w:r>
            <w:r>
              <w:rPr>
                <w:rFonts w:hint="default"/>
                <w:color w:val="000000" w:themeColor="text1"/>
                <w:sz w:val="24"/>
                <w:szCs w:val="24"/>
                <w:highlight w:val="none"/>
                <w14:textFill>
                  <w14:solidFill>
                    <w14:schemeClr w14:val="tx1"/>
                  </w14:solidFill>
                </w14:textFill>
              </w:rPr>
              <w:t>；α为平均吸声系数；</w:t>
            </w:r>
          </w:p>
          <w:p w14:paraId="39B0DE56">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r</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声源到靠近围护结构某点处的距离，m。</w:t>
            </w:r>
          </w:p>
          <w:p w14:paraId="6EE7B71D">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然后按下式计算出所有室内声源在围护结构处产生的i倍频带叠加声压级：</w:t>
            </w:r>
          </w:p>
          <w:p w14:paraId="1CEEC157">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14:textFill>
                  <w14:solidFill>
                    <w14:schemeClr w14:val="tx1"/>
                  </w14:solidFill>
                </w14:textFill>
              </w:rPr>
            </w:pPr>
            <m:oMathPara>
              <m:oMath>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pli</m:t>
                    </m:r>
                    <m:ctrlPr>
                      <w:rPr>
                        <w:rFonts w:hint="default" w:ascii="Cambria Math" w:hAnsi="Cambria Math"/>
                        <w:color w:val="000000"/>
                        <w:highlight w:val="none"/>
                      </w:rPr>
                    </m:ctrlPr>
                  </m:sub>
                </m:sSub>
                <m:d>
                  <m:dPr>
                    <m:ctrlPr>
                      <w:rPr>
                        <w:rFonts w:hint="default" w:ascii="Cambria Math" w:hAnsi="Cambria Math"/>
                        <w:color w:val="000000"/>
                        <w:highlight w:val="none"/>
                      </w:rPr>
                    </m:ctrlPr>
                  </m:dPr>
                  <m:e>
                    <m:r>
                      <m:rPr>
                        <m:sty m:val="p"/>
                      </m:rPr>
                      <w:rPr>
                        <w:rFonts w:hint="default" w:ascii="Cambria Math" w:hAnsi="Cambria Math"/>
                        <w:color w:val="000000"/>
                        <w:highlight w:val="none"/>
                        <w:lang w:val="en-US" w:eastAsia="zh-CN"/>
                      </w:rPr>
                      <m:t>T</m:t>
                    </m:r>
                    <m:ctrlPr>
                      <w:rPr>
                        <w:rFonts w:hint="default" w:ascii="Cambria Math" w:hAnsi="Cambria Math"/>
                        <w:color w:val="000000"/>
                        <w:highlight w:val="none"/>
                      </w:rPr>
                    </m:ctrlPr>
                  </m:e>
                </m:d>
                <m:r>
                  <m:rPr>
                    <m:sty m:val="p"/>
                  </m:rPr>
                  <w:rPr>
                    <w:rFonts w:hint="default" w:ascii="Cambria Math" w:hAnsi="Cambria Math"/>
                    <w:color w:val="000000"/>
                    <w:highlight w:val="none"/>
                  </w:rPr>
                  <m:t>=</m:t>
                </m:r>
                <m:r>
                  <m:rPr>
                    <m:sty m:val="p"/>
                  </m:rPr>
                  <w:rPr>
                    <w:rFonts w:hint="default" w:ascii="Cambria Math" w:hAnsi="Cambria Math"/>
                    <w:color w:val="000000"/>
                    <w:highlight w:val="none"/>
                    <w:lang w:val="en-US" w:eastAsia="zh-CN"/>
                  </w:rPr>
                  <m:t>10lg</m:t>
                </m:r>
                <m:d>
                  <m:dPr>
                    <m:ctrlPr>
                      <w:rPr>
                        <w:rFonts w:hint="default" w:ascii="Cambria Math" w:hAnsi="Cambria Math"/>
                        <w:color w:val="000000"/>
                        <w:highlight w:val="none"/>
                      </w:rPr>
                    </m:ctrlPr>
                  </m:dPr>
                  <m:e>
                    <m:nary>
                      <m:naryPr>
                        <m:chr m:val="∑"/>
                        <m:grow m:val="1"/>
                        <m:limLoc m:val="undOvr"/>
                        <m:ctrlPr>
                          <w:rPr>
                            <w:rFonts w:hint="default" w:ascii="Cambria Math" w:hAnsi="Cambria Math"/>
                            <w:color w:val="000000"/>
                            <w:highlight w:val="none"/>
                          </w:rPr>
                        </m:ctrlPr>
                      </m:naryPr>
                      <m:sub>
                        <m:r>
                          <m:rPr>
                            <m:sty m:val="p"/>
                          </m:rPr>
                          <w:rPr>
                            <w:rFonts w:hint="default" w:ascii="Cambria Math" w:hAnsi="Cambria Math"/>
                            <w:color w:val="000000"/>
                            <w:highlight w:val="none"/>
                            <w:lang w:val="en-US" w:eastAsia="zh-CN"/>
                          </w:rPr>
                          <m:t>j</m:t>
                        </m:r>
                        <m:r>
                          <m:rPr>
                            <m:sty m:val="p"/>
                          </m:rPr>
                          <w:rPr>
                            <w:rFonts w:hint="default" w:ascii="Cambria Math" w:hAnsi="Cambria Math"/>
                            <w:color w:val="000000"/>
                            <w:highlight w:val="none"/>
                          </w:rPr>
                          <m:t>=1</m:t>
                        </m:r>
                        <m:ctrlPr>
                          <w:rPr>
                            <w:rFonts w:hint="default" w:ascii="Cambria Math" w:hAnsi="Cambria Math"/>
                            <w:color w:val="000000"/>
                            <w:highlight w:val="none"/>
                          </w:rPr>
                        </m:ctrlPr>
                      </m:sub>
                      <m:sup>
                        <m:r>
                          <m:rPr>
                            <m:sty m:val="p"/>
                          </m:rPr>
                          <w:rPr>
                            <w:rFonts w:hint="default" w:ascii="Cambria Math" w:hAnsi="Cambria Math"/>
                            <w:color w:val="000000"/>
                            <w:highlight w:val="none"/>
                            <w:lang w:val="en-US" w:eastAsia="zh-CN"/>
                          </w:rPr>
                          <m:t>N</m:t>
                        </m:r>
                        <m:ctrlPr>
                          <w:rPr>
                            <w:rFonts w:hint="default" w:ascii="Cambria Math" w:hAnsi="Cambria Math"/>
                            <w:color w:val="000000"/>
                            <w:highlight w:val="none"/>
                          </w:rPr>
                        </m:ctrlPr>
                      </m:sup>
                      <m:e>
                        <m:sSup>
                          <m:sSupPr>
                            <m:ctrlPr>
                              <w:rPr>
                                <w:rFonts w:hint="default" w:ascii="Cambria Math" w:hAnsi="Cambria Math"/>
                                <w:color w:val="000000"/>
                                <w:highlight w:val="none"/>
                                <w:lang w:val="en-US" w:eastAsia="zh-CN"/>
                              </w:rPr>
                            </m:ctrlPr>
                          </m:sSupPr>
                          <m:e>
                            <m:r>
                              <m:rPr>
                                <m:sty m:val="p"/>
                              </m:rPr>
                              <w:rPr>
                                <w:rFonts w:hint="default" w:ascii="Cambria Math" w:hAnsi="Cambria Math"/>
                                <w:color w:val="000000"/>
                                <w:highlight w:val="none"/>
                                <w:lang w:val="en-US" w:eastAsia="zh-CN"/>
                              </w:rPr>
                              <m:t>10</m:t>
                            </m:r>
                            <m:ctrlPr>
                              <w:rPr>
                                <w:rFonts w:hint="default" w:ascii="Cambria Math" w:hAnsi="Cambria Math"/>
                                <w:color w:val="000000"/>
                                <w:highlight w:val="none"/>
                                <w:lang w:val="en-US" w:eastAsia="zh-CN"/>
                              </w:rPr>
                            </m:ctrlPr>
                          </m:e>
                          <m:sup>
                            <m:r>
                              <m:rPr>
                                <m:sty m:val="p"/>
                              </m:rPr>
                              <w:rPr>
                                <w:rFonts w:hint="default" w:ascii="Cambria Math" w:hAnsi="Cambria Math"/>
                                <w:color w:val="000000"/>
                                <w:highlight w:val="none"/>
                                <w:lang w:val="en-US" w:eastAsia="zh-CN"/>
                              </w:rPr>
                              <m:t>0.1</m:t>
                            </m:r>
                            <m:sSub>
                              <m:sSubPr>
                                <m:ctrlPr>
                                  <w:rPr>
                                    <w:rFonts w:hint="default" w:ascii="Cambria Math" w:hAnsi="Cambria Math"/>
                                    <w:color w:val="000000"/>
                                    <w:highlight w:val="none"/>
                                    <w:lang w:val="en-US" w:eastAsia="zh-CN"/>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lang w:val="en-US" w:eastAsia="zh-CN"/>
                                  </w:rPr>
                                </m:ctrlPr>
                              </m:e>
                              <m:sub>
                                <m:r>
                                  <m:rPr>
                                    <m:sty m:val="p"/>
                                  </m:rPr>
                                  <w:rPr>
                                    <w:rFonts w:hint="default" w:ascii="Cambria Math" w:hAnsi="Cambria Math"/>
                                    <w:color w:val="000000"/>
                                    <w:highlight w:val="none"/>
                                    <w:lang w:val="en-US" w:eastAsia="zh-CN"/>
                                  </w:rPr>
                                  <m:t>plij</m:t>
                                </m:r>
                                <m:ctrlPr>
                                  <w:rPr>
                                    <w:rFonts w:hint="default" w:ascii="Cambria Math" w:hAnsi="Cambria Math"/>
                                    <w:color w:val="000000"/>
                                    <w:highlight w:val="none"/>
                                    <w:lang w:val="en-US" w:eastAsia="zh-CN"/>
                                  </w:rPr>
                                </m:ctrlPr>
                              </m:sub>
                            </m:sSub>
                            <m:ctrlPr>
                              <w:rPr>
                                <w:rFonts w:hint="default" w:ascii="Cambria Math" w:hAnsi="Cambria Math"/>
                                <w:color w:val="000000"/>
                                <w:highlight w:val="none"/>
                                <w:lang w:val="en-US" w:eastAsia="zh-CN"/>
                              </w:rPr>
                            </m:ctrlPr>
                          </m:sup>
                        </m:sSup>
                        <m:ctrlPr>
                          <w:rPr>
                            <w:rFonts w:hint="default" w:ascii="Cambria Math" w:hAnsi="Cambria Math"/>
                            <w:color w:val="000000"/>
                            <w:highlight w:val="none"/>
                          </w:rPr>
                        </m:ctrlPr>
                      </m:e>
                    </m:nary>
                    <m:ctrlPr>
                      <w:rPr>
                        <w:rFonts w:hint="default" w:ascii="Cambria Math" w:hAnsi="Cambria Math"/>
                        <w:color w:val="000000"/>
                        <w:highlight w:val="none"/>
                      </w:rPr>
                    </m:ctrlPr>
                  </m:e>
                </m:d>
              </m:oMath>
            </m:oMathPara>
          </w:p>
          <w:p w14:paraId="3D85F4F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式中：L</w:t>
            </w:r>
            <w:r>
              <w:rPr>
                <w:rFonts w:hint="default"/>
                <w:color w:val="000000" w:themeColor="text1"/>
                <w:sz w:val="24"/>
                <w:szCs w:val="24"/>
                <w:highlight w:val="none"/>
                <w:vertAlign w:val="subscript"/>
                <w14:textFill>
                  <w14:solidFill>
                    <w14:schemeClr w14:val="tx1"/>
                  </w14:solidFill>
                </w14:textFill>
              </w:rPr>
              <w:t>p1i</w:t>
            </w:r>
            <w:r>
              <w:rPr>
                <w:rFonts w:hint="default"/>
                <w:color w:val="000000" w:themeColor="text1"/>
                <w:sz w:val="24"/>
                <w:szCs w:val="24"/>
                <w:highlight w:val="none"/>
                <w14:textFill>
                  <w14:solidFill>
                    <w14:schemeClr w14:val="tx1"/>
                  </w14:solidFill>
                </w14:textFill>
              </w:rPr>
              <w:t>(T)</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靠近围护结构处室内N个声源i倍频带的叠加声压级，dB；</w:t>
            </w:r>
          </w:p>
          <w:p w14:paraId="2D9D1212">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L</w:t>
            </w:r>
            <w:r>
              <w:rPr>
                <w:rFonts w:hint="default"/>
                <w:color w:val="000000" w:themeColor="text1"/>
                <w:sz w:val="24"/>
                <w:szCs w:val="24"/>
                <w:highlight w:val="none"/>
                <w:vertAlign w:val="subscript"/>
                <w14:textFill>
                  <w14:solidFill>
                    <w14:schemeClr w14:val="tx1"/>
                  </w14:solidFill>
                </w14:textFill>
              </w:rPr>
              <w:t>p1ij</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室内j声源i倍频带的声压级，dB；</w:t>
            </w:r>
          </w:p>
          <w:p w14:paraId="35A5BAB3">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ascii="Times New Roman" w:hAnsi="Times New Roman" w:cs="Times New Roman"/>
                <w:color w:val="000000" w:themeColor="text1"/>
                <w:sz w:val="24"/>
                <w:szCs w:val="24"/>
                <w:highlight w:val="none"/>
                <w:lang w:bidi="ar"/>
                <w14:textFill>
                  <w14:solidFill>
                    <w14:schemeClr w14:val="tx1"/>
                  </w14:solidFill>
                </w14:textFill>
              </w:rPr>
            </w:pPr>
            <w:r>
              <w:rPr>
                <w:rFonts w:hint="default"/>
                <w:color w:val="000000" w:themeColor="text1"/>
                <w:sz w:val="24"/>
                <w:szCs w:val="24"/>
                <w:highlight w:val="none"/>
                <w14:textFill>
                  <w14:solidFill>
                    <w14:schemeClr w14:val="tx1"/>
                  </w14:solidFill>
                </w14:textFill>
              </w:rPr>
              <w:t>N</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室内声源总数</w:t>
            </w:r>
            <w:r>
              <w:rPr>
                <w:rFonts w:hint="default" w:ascii="Times New Roman" w:hAnsi="Times New Roman" w:cs="Times New Roman"/>
                <w:color w:val="000000" w:themeColor="text1"/>
                <w:sz w:val="24"/>
                <w:szCs w:val="24"/>
                <w:highlight w:val="none"/>
                <w:lang w:bidi="ar"/>
                <w14:textFill>
                  <w14:solidFill>
                    <w14:schemeClr w14:val="tx1"/>
                  </w14:solidFill>
                </w14:textFill>
              </w:rPr>
              <w:t>。</w:t>
            </w:r>
          </w:p>
          <w:p w14:paraId="1954AA82">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在室内近似为扩散声场时，按下式计算出靠近室外围护结构处的声压级：</w:t>
            </w:r>
          </w:p>
          <w:p w14:paraId="5445D88F">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14:textFill>
                  <w14:solidFill>
                    <w14:schemeClr w14:val="tx1"/>
                  </w14:solidFill>
                </w14:textFill>
              </w:rPr>
            </w:pPr>
            <m:oMathPara>
              <m:oMath>
                <m:sSub>
                  <m:sSubPr>
                    <m:ctrlPr>
                      <w:rPr>
                        <w:rFonts w:hint="default" w:ascii="Cambria Math" w:hAnsi="Cambria Math"/>
                        <w:i/>
                        <w:color w:val="000000"/>
                        <w:highlight w:val="none"/>
                      </w:rPr>
                    </m:ctrlPr>
                  </m:sSubPr>
                  <m:e>
                    <m:r>
                      <m:rPr/>
                      <w:rPr>
                        <w:rFonts w:hint="default" w:ascii="Cambria Math" w:hAnsi="Cambria Math"/>
                        <w:color w:val="000000"/>
                        <w:highlight w:val="none"/>
                        <w:lang w:val="en-US" w:eastAsia="zh-CN"/>
                      </w:rPr>
                      <m:t>L</m:t>
                    </m:r>
                    <m:ctrlPr>
                      <w:rPr>
                        <w:rFonts w:hint="default" w:ascii="Cambria Math" w:hAnsi="Cambria Math"/>
                        <w:i/>
                        <w:color w:val="000000"/>
                        <w:highlight w:val="none"/>
                      </w:rPr>
                    </m:ctrlPr>
                  </m:e>
                  <m:sub>
                    <m:r>
                      <m:rPr/>
                      <w:rPr>
                        <w:rFonts w:hint="default" w:ascii="Cambria Math" w:hAnsi="Cambria Math"/>
                        <w:color w:val="000000"/>
                        <w:highlight w:val="none"/>
                        <w:lang w:val="en-US" w:eastAsia="zh-CN"/>
                      </w:rPr>
                      <m:t>p2i</m:t>
                    </m:r>
                    <m:ctrlPr>
                      <w:rPr>
                        <w:rFonts w:hint="default" w:ascii="Cambria Math" w:hAnsi="Cambria Math"/>
                        <w:i/>
                        <w:color w:val="000000"/>
                        <w:highlight w:val="none"/>
                      </w:rPr>
                    </m:ctrlPr>
                  </m:sub>
                </m:sSub>
                <m:d>
                  <m:dPr>
                    <m:ctrlPr>
                      <w:rPr>
                        <w:rFonts w:hint="default" w:ascii="Cambria Math" w:hAnsi="Cambria Math"/>
                        <w:i/>
                        <w:color w:val="000000"/>
                        <w:highlight w:val="none"/>
                      </w:rPr>
                    </m:ctrlPr>
                  </m:dPr>
                  <m:e>
                    <m:r>
                      <m:rPr/>
                      <w:rPr>
                        <w:rFonts w:hint="default" w:ascii="Cambria Math" w:hAnsi="Cambria Math"/>
                        <w:color w:val="000000"/>
                        <w:highlight w:val="none"/>
                        <w:lang w:val="en-US" w:eastAsia="zh-CN"/>
                      </w:rPr>
                      <m:t>T</m:t>
                    </m:r>
                    <m:ctrlPr>
                      <w:rPr>
                        <w:rFonts w:hint="default" w:ascii="Cambria Math" w:hAnsi="Cambria Math"/>
                        <w:i/>
                        <w:color w:val="000000"/>
                        <w:highlight w:val="none"/>
                      </w:rPr>
                    </m:ctrlPr>
                  </m:e>
                </m:d>
                <m:r>
                  <m:rPr/>
                  <w:rPr>
                    <w:rFonts w:hint="default" w:ascii="Cambria Math" w:hAnsi="Cambria Math"/>
                    <w:color w:val="000000"/>
                    <w:highlight w:val="none"/>
                    <w:lang w:val="en-US" w:eastAsia="zh-CN"/>
                  </w:rPr>
                  <m:t>=</m:t>
                </m:r>
                <m:sSub>
                  <m:sSubPr>
                    <m:ctrlPr>
                      <w:rPr>
                        <w:rFonts w:hint="default" w:ascii="Cambria Math" w:hAnsi="Cambria Math"/>
                        <w:i/>
                        <w:color w:val="000000"/>
                        <w:highlight w:val="none"/>
                        <w:lang w:val="en-US" w:eastAsia="zh-CN"/>
                      </w:rPr>
                    </m:ctrlPr>
                  </m:sSubPr>
                  <m:e>
                    <m:r>
                      <m:rPr/>
                      <w:rPr>
                        <w:rFonts w:hint="default" w:ascii="Cambria Math" w:hAnsi="Cambria Math"/>
                        <w:color w:val="000000"/>
                        <w:highlight w:val="none"/>
                        <w:lang w:val="en-US" w:eastAsia="zh-CN"/>
                      </w:rPr>
                      <m:t>L</m:t>
                    </m:r>
                    <m:ctrlPr>
                      <w:rPr>
                        <w:rFonts w:hint="default" w:ascii="Cambria Math" w:hAnsi="Cambria Math"/>
                        <w:i/>
                        <w:color w:val="000000"/>
                        <w:highlight w:val="none"/>
                        <w:lang w:val="en-US" w:eastAsia="zh-CN"/>
                      </w:rPr>
                    </m:ctrlPr>
                  </m:e>
                  <m:sub>
                    <m:r>
                      <m:rPr/>
                      <w:rPr>
                        <w:rFonts w:hint="default" w:ascii="Cambria Math" w:hAnsi="Cambria Math"/>
                        <w:color w:val="000000"/>
                        <w:highlight w:val="none"/>
                        <w:lang w:val="en-US" w:eastAsia="zh-CN"/>
                      </w:rPr>
                      <m:t>pli</m:t>
                    </m:r>
                    <m:ctrlPr>
                      <w:rPr>
                        <w:rFonts w:hint="default" w:ascii="Cambria Math" w:hAnsi="Cambria Math"/>
                        <w:i/>
                        <w:color w:val="000000"/>
                        <w:highlight w:val="none"/>
                        <w:lang w:val="en-US" w:eastAsia="zh-CN"/>
                      </w:rPr>
                    </m:ctrlPr>
                  </m:sub>
                </m:sSub>
                <m:d>
                  <m:dPr>
                    <m:ctrlPr>
                      <w:rPr>
                        <w:rFonts w:hint="default" w:ascii="Cambria Math" w:hAnsi="Cambria Math"/>
                        <w:i/>
                        <w:color w:val="000000"/>
                        <w:highlight w:val="none"/>
                        <w:lang w:val="en-US" w:eastAsia="zh-CN"/>
                      </w:rPr>
                    </m:ctrlPr>
                  </m:dPr>
                  <m:e>
                    <m:r>
                      <m:rPr/>
                      <w:rPr>
                        <w:rFonts w:hint="default" w:ascii="Cambria Math" w:hAnsi="Cambria Math"/>
                        <w:color w:val="000000"/>
                        <w:highlight w:val="none"/>
                        <w:lang w:val="en-US" w:eastAsia="zh-CN"/>
                      </w:rPr>
                      <m:t>T</m:t>
                    </m:r>
                    <m:ctrlPr>
                      <w:rPr>
                        <w:rFonts w:hint="default" w:ascii="Cambria Math" w:hAnsi="Cambria Math"/>
                        <w:i/>
                        <w:color w:val="000000"/>
                        <w:highlight w:val="none"/>
                        <w:lang w:val="en-US" w:eastAsia="zh-CN"/>
                      </w:rPr>
                    </m:ctrlPr>
                  </m:e>
                </m:d>
                <m:r>
                  <m:rPr/>
                  <w:rPr>
                    <w:rFonts w:hint="default" w:ascii="Cambria Math" w:hAnsi="Cambria Math"/>
                    <w:color w:val="000000"/>
                    <w:highlight w:val="none"/>
                    <w:lang w:val="en-US" w:eastAsia="zh-CN"/>
                  </w:rPr>
                  <m:t>−</m:t>
                </m:r>
                <m:d>
                  <m:dPr>
                    <m:ctrlPr>
                      <w:rPr>
                        <w:rFonts w:hint="default" w:ascii="Cambria Math" w:hAnsi="Cambria Math"/>
                        <w:i/>
                        <w:color w:val="000000"/>
                        <w:highlight w:val="none"/>
                        <w:lang w:val="en-US" w:eastAsia="zh-CN"/>
                      </w:rPr>
                    </m:ctrlPr>
                  </m:dPr>
                  <m:e>
                    <m:r>
                      <m:rPr/>
                      <w:rPr>
                        <w:rFonts w:hint="default" w:ascii="Cambria Math" w:hAnsi="Cambria Math"/>
                        <w:color w:val="000000"/>
                        <w:highlight w:val="none"/>
                        <w:lang w:val="en-US" w:eastAsia="zh-CN"/>
                      </w:rPr>
                      <m:t>T</m:t>
                    </m:r>
                    <m:sSub>
                      <m:sSubPr>
                        <m:ctrlPr>
                          <w:rPr>
                            <w:rFonts w:hint="default" w:ascii="Cambria Math" w:hAnsi="Cambria Math"/>
                            <w:i/>
                            <w:color w:val="000000"/>
                            <w:highlight w:val="none"/>
                            <w:lang w:val="en-US" w:eastAsia="zh-CN"/>
                          </w:rPr>
                        </m:ctrlPr>
                      </m:sSubPr>
                      <m:e>
                        <m:r>
                          <m:rPr/>
                          <w:rPr>
                            <w:rFonts w:hint="default" w:ascii="Cambria Math" w:hAnsi="Cambria Math"/>
                            <w:color w:val="000000"/>
                            <w:highlight w:val="none"/>
                            <w:lang w:val="en-US" w:eastAsia="zh-CN"/>
                          </w:rPr>
                          <m:t>L</m:t>
                        </m:r>
                        <m:ctrlPr>
                          <w:rPr>
                            <w:rFonts w:hint="default" w:ascii="Cambria Math" w:hAnsi="Cambria Math"/>
                            <w:i/>
                            <w:color w:val="000000"/>
                            <w:highlight w:val="none"/>
                            <w:lang w:val="en-US" w:eastAsia="zh-CN"/>
                          </w:rPr>
                        </m:ctrlPr>
                      </m:e>
                      <m:sub>
                        <m:r>
                          <m:rPr/>
                          <w:rPr>
                            <w:rFonts w:hint="default" w:ascii="Cambria Math" w:hAnsi="Cambria Math"/>
                            <w:color w:val="000000"/>
                            <w:highlight w:val="none"/>
                            <w:lang w:val="en-US" w:eastAsia="zh-CN"/>
                          </w:rPr>
                          <m:t>i</m:t>
                        </m:r>
                        <m:ctrlPr>
                          <w:rPr>
                            <w:rFonts w:hint="default" w:ascii="Cambria Math" w:hAnsi="Cambria Math"/>
                            <w:i/>
                            <w:color w:val="000000"/>
                            <w:highlight w:val="none"/>
                            <w:lang w:val="en-US" w:eastAsia="zh-CN"/>
                          </w:rPr>
                        </m:ctrlPr>
                      </m:sub>
                    </m:sSub>
                    <m:r>
                      <m:rPr/>
                      <w:rPr>
                        <w:rFonts w:hint="default" w:ascii="Cambria Math" w:hAnsi="Cambria Math"/>
                        <w:color w:val="000000"/>
                        <w:highlight w:val="none"/>
                        <w:lang w:val="en-US" w:eastAsia="zh-CN"/>
                      </w:rPr>
                      <m:t>+6</m:t>
                    </m:r>
                    <m:ctrlPr>
                      <w:rPr>
                        <w:rFonts w:hint="default" w:ascii="Cambria Math" w:hAnsi="Cambria Math"/>
                        <w:i/>
                        <w:color w:val="000000"/>
                        <w:highlight w:val="none"/>
                        <w:lang w:val="en-US" w:eastAsia="zh-CN"/>
                      </w:rPr>
                    </m:ctrlPr>
                  </m:e>
                </m:d>
              </m:oMath>
            </m:oMathPara>
          </w:p>
          <w:p w14:paraId="56CD9161">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式中：</w:t>
            </w:r>
            <m:oMath>
              <m:sSub>
                <m:sSubPr>
                  <m:ctrlPr>
                    <w:rPr>
                      <w:rFonts w:hint="default" w:ascii="Cambria Math" w:hAnsi="Cambria Math"/>
                      <w:i/>
                      <w:color w:val="000000"/>
                      <w:highlight w:val="none"/>
                    </w:rPr>
                  </m:ctrlPr>
                </m:sSubPr>
                <m:e>
                  <m:r>
                    <m:rPr/>
                    <w:rPr>
                      <w:rFonts w:hint="default" w:ascii="Cambria Math" w:hAnsi="Cambria Math"/>
                      <w:color w:val="000000"/>
                      <w:highlight w:val="none"/>
                      <w:lang w:val="en-US" w:eastAsia="zh-CN"/>
                    </w:rPr>
                    <m:t>L</m:t>
                  </m:r>
                  <m:ctrlPr>
                    <w:rPr>
                      <w:rFonts w:hint="default" w:ascii="Cambria Math" w:hAnsi="Cambria Math"/>
                      <w:i/>
                      <w:color w:val="000000"/>
                      <w:highlight w:val="none"/>
                    </w:rPr>
                  </m:ctrlPr>
                </m:e>
                <m:sub>
                  <m:r>
                    <m:rPr/>
                    <w:rPr>
                      <w:rFonts w:hint="default" w:ascii="Cambria Math" w:hAnsi="Cambria Math"/>
                      <w:color w:val="000000"/>
                      <w:highlight w:val="none"/>
                      <w:lang w:val="en-US" w:eastAsia="zh-CN"/>
                    </w:rPr>
                    <m:t>p2i</m:t>
                  </m:r>
                  <m:ctrlPr>
                    <w:rPr>
                      <w:rFonts w:hint="default" w:ascii="Cambria Math" w:hAnsi="Cambria Math"/>
                      <w:i/>
                      <w:color w:val="000000"/>
                      <w:highlight w:val="none"/>
                    </w:rPr>
                  </m:ctrlPr>
                </m:sub>
              </m:sSub>
              <m:d>
                <m:dPr>
                  <m:ctrlPr>
                    <w:rPr>
                      <w:rFonts w:hint="default" w:ascii="Cambria Math" w:hAnsi="Cambria Math"/>
                      <w:i/>
                      <w:color w:val="000000"/>
                      <w:highlight w:val="none"/>
                    </w:rPr>
                  </m:ctrlPr>
                </m:dPr>
                <m:e>
                  <m:r>
                    <m:rPr/>
                    <w:rPr>
                      <w:rFonts w:hint="default" w:ascii="Cambria Math" w:hAnsi="Cambria Math"/>
                      <w:color w:val="000000"/>
                      <w:highlight w:val="none"/>
                      <w:lang w:val="en-US" w:eastAsia="zh-CN"/>
                    </w:rPr>
                    <m:t>T</m:t>
                  </m:r>
                  <m:ctrlPr>
                    <w:rPr>
                      <w:rFonts w:hint="default" w:ascii="Cambria Math" w:hAnsi="Cambria Math"/>
                      <w:i/>
                      <w:color w:val="000000"/>
                      <w:highlight w:val="none"/>
                    </w:rPr>
                  </m:ctrlPr>
                </m:e>
              </m:d>
            </m:oMath>
            <w:r>
              <w:rPr>
                <w:rFonts w:hint="eastAsia" w:hAnsi="Cambria Math"/>
                <w:i w:val="0"/>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靠近围护结构处室外N个声源i倍频带的叠加声压级，dB；</w:t>
            </w:r>
          </w:p>
          <w:p w14:paraId="6DB43343">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14:textFill>
                  <w14:solidFill>
                    <w14:schemeClr w14:val="tx1"/>
                  </w14:solidFill>
                </w14:textFill>
              </w:rPr>
            </w:pPr>
            <m:oMath>
              <m:sSub>
                <m:sSubPr>
                  <m:ctrlPr>
                    <w:rPr>
                      <w:rFonts w:hint="default" w:ascii="Cambria Math" w:hAnsi="Cambria Math"/>
                      <w:i/>
                      <w:color w:val="000000"/>
                      <w:highlight w:val="none"/>
                      <w:lang w:val="en-US" w:eastAsia="zh-CN"/>
                    </w:rPr>
                  </m:ctrlPr>
                </m:sSubPr>
                <m:e>
                  <m:r>
                    <m:rPr/>
                    <w:rPr>
                      <w:rFonts w:hint="default" w:ascii="Cambria Math" w:hAnsi="Cambria Math"/>
                      <w:color w:val="000000"/>
                      <w:highlight w:val="none"/>
                      <w:lang w:val="en-US" w:eastAsia="zh-CN"/>
                    </w:rPr>
                    <m:t>L</m:t>
                  </m:r>
                  <m:ctrlPr>
                    <w:rPr>
                      <w:rFonts w:hint="default" w:ascii="Cambria Math" w:hAnsi="Cambria Math"/>
                      <w:i/>
                      <w:color w:val="000000"/>
                      <w:highlight w:val="none"/>
                      <w:lang w:val="en-US" w:eastAsia="zh-CN"/>
                    </w:rPr>
                  </m:ctrlPr>
                </m:e>
                <m:sub>
                  <m:r>
                    <m:rPr/>
                    <w:rPr>
                      <w:rFonts w:hint="default" w:ascii="Cambria Math" w:hAnsi="Cambria Math"/>
                      <w:color w:val="000000"/>
                      <w:highlight w:val="none"/>
                      <w:lang w:val="en-US" w:eastAsia="zh-CN"/>
                    </w:rPr>
                    <m:t>pli</m:t>
                  </m:r>
                  <m:ctrlPr>
                    <w:rPr>
                      <w:rFonts w:hint="default" w:ascii="Cambria Math" w:hAnsi="Cambria Math"/>
                      <w:i/>
                      <w:color w:val="000000"/>
                      <w:highlight w:val="none"/>
                      <w:lang w:val="en-US" w:eastAsia="zh-CN"/>
                    </w:rPr>
                  </m:ctrlPr>
                </m:sub>
              </m:sSub>
              <m:d>
                <m:dPr>
                  <m:ctrlPr>
                    <w:rPr>
                      <w:rFonts w:hint="default" w:ascii="Cambria Math" w:hAnsi="Cambria Math"/>
                      <w:i/>
                      <w:color w:val="000000"/>
                      <w:highlight w:val="none"/>
                      <w:lang w:val="en-US" w:eastAsia="zh-CN"/>
                    </w:rPr>
                  </m:ctrlPr>
                </m:dPr>
                <m:e>
                  <m:r>
                    <m:rPr/>
                    <w:rPr>
                      <w:rFonts w:hint="default" w:ascii="Cambria Math" w:hAnsi="Cambria Math"/>
                      <w:color w:val="000000"/>
                      <w:highlight w:val="none"/>
                      <w:lang w:val="en-US" w:eastAsia="zh-CN"/>
                    </w:rPr>
                    <m:t>T</m:t>
                  </m:r>
                  <m:ctrlPr>
                    <w:rPr>
                      <w:rFonts w:hint="default" w:ascii="Cambria Math" w:hAnsi="Cambria Math"/>
                      <w:i/>
                      <w:color w:val="000000"/>
                      <w:highlight w:val="none"/>
                      <w:lang w:val="en-US" w:eastAsia="zh-CN"/>
                    </w:rPr>
                  </m:ctrlPr>
                </m:e>
              </m:d>
            </m:oMath>
            <w:r>
              <w:rPr>
                <w:rFonts w:hint="default"/>
                <w:color w:val="000000" w:themeColor="text1"/>
                <w:sz w:val="24"/>
                <w:szCs w:val="24"/>
                <w:highlight w:val="none"/>
                <w14:textFill>
                  <w14:solidFill>
                    <w14:schemeClr w14:val="tx1"/>
                  </w14:solidFill>
                </w14:textFill>
              </w:rPr>
              <w:t>—靠近围护结构处室内N个声源i倍频带的叠加声压级，dB；</w:t>
            </w:r>
          </w:p>
          <w:p w14:paraId="45B00059">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14:textFill>
                  <w14:solidFill>
                    <w14:schemeClr w14:val="tx1"/>
                  </w14:solidFill>
                </w14:textFill>
              </w:rPr>
            </w:pPr>
            <m:oMath>
              <m:r>
                <m:rPr>
                  <m:sty m:val="p"/>
                </m:rPr>
                <w:rPr>
                  <w:rFonts w:hint="default" w:ascii="Cambria Math" w:hAnsi="Cambria Math"/>
                  <w:color w:val="000000"/>
                  <w:highlight w:val="none"/>
                  <w:lang w:val="en-US" w:eastAsia="zh-CN"/>
                </w:rPr>
                <m:t>T</m:t>
              </m:r>
              <m:sSub>
                <m:sSubPr>
                  <m:ctrlPr>
                    <w:rPr>
                      <w:rFonts w:hint="default" w:ascii="Cambria Math" w:hAnsi="Cambria Math"/>
                      <w:color w:val="000000"/>
                      <w:highlight w:val="none"/>
                      <w:lang w:val="en-US" w:eastAsia="zh-CN"/>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lang w:val="en-US" w:eastAsia="zh-CN"/>
                    </w:rPr>
                  </m:ctrlPr>
                </m:e>
                <m:sub>
                  <m:r>
                    <m:rPr>
                      <m:sty m:val="p"/>
                    </m:rPr>
                    <w:rPr>
                      <w:rFonts w:hint="default" w:ascii="Cambria Math" w:hAnsi="Cambria Math"/>
                      <w:color w:val="000000"/>
                      <w:highlight w:val="none"/>
                      <w:lang w:val="en-US" w:eastAsia="zh-CN"/>
                    </w:rPr>
                    <m:t>i</m:t>
                  </m:r>
                  <m:ctrlPr>
                    <w:rPr>
                      <w:rFonts w:hint="default" w:ascii="Cambria Math" w:hAnsi="Cambria Math"/>
                      <w:color w:val="000000"/>
                      <w:highlight w:val="none"/>
                      <w:lang w:val="en-US" w:eastAsia="zh-CN"/>
                    </w:rPr>
                  </m:ctrlPr>
                </m:sub>
              </m:sSub>
            </m:oMath>
            <w:r>
              <w:rPr>
                <w:rFonts w:hint="default"/>
                <w:color w:val="000000" w:themeColor="text1"/>
                <w:sz w:val="24"/>
                <w:szCs w:val="24"/>
                <w:highlight w:val="none"/>
                <w14:textFill>
                  <w14:solidFill>
                    <w14:schemeClr w14:val="tx1"/>
                  </w14:solidFill>
                </w14:textFill>
              </w:rPr>
              <w:t>—围护结构i倍频带的隔声量，dB。</w:t>
            </w:r>
          </w:p>
          <w:p w14:paraId="1A38945F">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然后按下式将室外声源的声压级和透过面积换算成等效的室外声源，计算出中心位置位于透声面积（S）处的等效声源的倍频带声功率级。</w:t>
            </w:r>
          </w:p>
          <w:p w14:paraId="78A2759F">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lang w:val="en-US" w:eastAsia="zh-CN"/>
                <w14:textFill>
                  <w14:solidFill>
                    <w14:schemeClr w14:val="tx1"/>
                  </w14:solidFill>
                </w14:textFill>
              </w:rPr>
            </w:pPr>
            <m:oMathPara>
              <m:oMath>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w</m:t>
                    </m:r>
                    <m:ctrlPr>
                      <w:rPr>
                        <w:rFonts w:hint="default" w:ascii="Cambria Math" w:hAnsi="Cambria Math"/>
                        <w:color w:val="000000"/>
                        <w:highlight w:val="none"/>
                      </w:rPr>
                    </m:ctrlPr>
                  </m:sub>
                </m:sSub>
                <m:r>
                  <m:rPr>
                    <m:sty m:val="p"/>
                  </m:rPr>
                  <w:rPr>
                    <w:rFonts w:hint="default" w:ascii="Cambria Math" w:hAnsi="Cambria Math"/>
                    <w:color w:val="000000"/>
                    <w:highlight w:val="none"/>
                    <w:lang w:val="en-US" w:eastAsia="zh-CN"/>
                  </w:rPr>
                  <m:t>=</m:t>
                </m:r>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p2</m:t>
                    </m:r>
                    <m:ctrlPr>
                      <w:rPr>
                        <w:rFonts w:hint="default" w:ascii="Cambria Math" w:hAnsi="Cambria Math"/>
                        <w:color w:val="000000"/>
                        <w:highlight w:val="none"/>
                      </w:rPr>
                    </m:ctrlPr>
                  </m:sub>
                </m:sSub>
                <m:d>
                  <m:dPr>
                    <m:ctrlPr>
                      <w:rPr>
                        <w:rFonts w:hint="default" w:ascii="Cambria Math" w:hAnsi="Cambria Math"/>
                        <w:color w:val="000000"/>
                        <w:highlight w:val="none"/>
                      </w:rPr>
                    </m:ctrlPr>
                  </m:dPr>
                  <m:e>
                    <m:r>
                      <m:rPr>
                        <m:sty m:val="p"/>
                      </m:rPr>
                      <w:rPr>
                        <w:rFonts w:hint="default" w:ascii="Cambria Math" w:hAnsi="Cambria Math"/>
                        <w:color w:val="000000"/>
                        <w:highlight w:val="none"/>
                        <w:lang w:val="en-US" w:eastAsia="zh-CN"/>
                      </w:rPr>
                      <m:t>T</m:t>
                    </m:r>
                    <m:ctrlPr>
                      <w:rPr>
                        <w:rFonts w:hint="default" w:ascii="Cambria Math" w:hAnsi="Cambria Math"/>
                        <w:color w:val="000000"/>
                        <w:highlight w:val="none"/>
                      </w:rPr>
                    </m:ctrlPr>
                  </m:e>
                </m:d>
                <m:r>
                  <m:rPr>
                    <m:sty m:val="p"/>
                  </m:rPr>
                  <w:rPr>
                    <w:rFonts w:hint="default" w:ascii="Cambria Math" w:hAnsi="Cambria Math"/>
                    <w:color w:val="000000"/>
                    <w:highlight w:val="none"/>
                    <w:lang w:val="en-US" w:eastAsia="zh-CN"/>
                  </w:rPr>
                  <m:t>+10lgS</m:t>
                </m:r>
              </m:oMath>
            </m:oMathPara>
          </w:p>
          <w:p w14:paraId="7272683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式中：Lw</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中心位置位于透声面积（S）处的等效声源的倍频带声功率级，dB；</w:t>
            </w:r>
          </w:p>
          <w:p w14:paraId="617CE89B">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L</w:t>
            </w:r>
            <w:r>
              <w:rPr>
                <w:rFonts w:hint="default"/>
                <w:color w:val="000000" w:themeColor="text1"/>
                <w:sz w:val="24"/>
                <w:szCs w:val="24"/>
                <w:highlight w:val="none"/>
                <w:vertAlign w:val="subscript"/>
                <w14:textFill>
                  <w14:solidFill>
                    <w14:schemeClr w14:val="tx1"/>
                  </w14:solidFill>
                </w14:textFill>
              </w:rPr>
              <w:t>p2</w:t>
            </w:r>
            <w:r>
              <w:rPr>
                <w:rFonts w:hint="default"/>
                <w:color w:val="000000" w:themeColor="text1"/>
                <w:sz w:val="24"/>
                <w:szCs w:val="24"/>
                <w:highlight w:val="none"/>
                <w14:textFill>
                  <w14:solidFill>
                    <w14:schemeClr w14:val="tx1"/>
                  </w14:solidFill>
                </w14:textFill>
              </w:rPr>
              <w:t>(T)</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靠近围护结构处室外声源的声压级，dB；</w:t>
            </w:r>
          </w:p>
          <w:p w14:paraId="0BBD44CF">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S</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透声面积，m</w:t>
            </w:r>
            <w:r>
              <w:rPr>
                <w:rFonts w:hint="eastAsia"/>
                <w:color w:val="000000" w:themeColor="text1"/>
                <w:sz w:val="24"/>
                <w:szCs w:val="24"/>
                <w:highlight w:val="none"/>
                <w:vertAlign w:val="superscript"/>
                <w:lang w:val="en-US" w:eastAsia="zh-CN"/>
                <w14:textFill>
                  <w14:solidFill>
                    <w14:schemeClr w14:val="tx1"/>
                  </w14:solidFill>
                </w14:textFill>
              </w:rPr>
              <w:t>2</w:t>
            </w:r>
            <w:r>
              <w:rPr>
                <w:rFonts w:hint="default"/>
                <w:color w:val="000000" w:themeColor="text1"/>
                <w:sz w:val="24"/>
                <w:szCs w:val="24"/>
                <w:highlight w:val="none"/>
                <w14:textFill>
                  <w14:solidFill>
                    <w14:schemeClr w14:val="tx1"/>
                  </w14:solidFill>
                </w14:textFill>
              </w:rPr>
              <w:t>。</w:t>
            </w:r>
          </w:p>
          <w:p w14:paraId="3522CF89">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ascii="Times New Roman" w:hAnsi="Times New Roman" w:cs="Times New Roman"/>
                <w:color w:val="000000" w:themeColor="text1"/>
                <w:sz w:val="24"/>
                <w:szCs w:val="24"/>
                <w:highlight w:val="none"/>
                <w:lang w:bidi="ar"/>
                <w14:textFill>
                  <w14:solidFill>
                    <w14:schemeClr w14:val="tx1"/>
                  </w14:solidFill>
                </w14:textFill>
              </w:rPr>
            </w:pPr>
            <w:r>
              <w:rPr>
                <w:rFonts w:hint="default"/>
                <w:color w:val="000000" w:themeColor="text1"/>
                <w:sz w:val="24"/>
                <w:szCs w:val="24"/>
                <w:highlight w:val="none"/>
                <w14:textFill>
                  <w14:solidFill>
                    <w14:schemeClr w14:val="tx1"/>
                  </w14:solidFill>
                </w14:textFill>
              </w:rPr>
              <w:t>然后按室外声源预测方法</w:t>
            </w:r>
            <w:r>
              <w:rPr>
                <w:rFonts w:hint="default" w:ascii="Times New Roman" w:hAnsi="Times New Roman" w:cs="Times New Roman"/>
                <w:color w:val="000000" w:themeColor="text1"/>
                <w:sz w:val="24"/>
                <w:szCs w:val="24"/>
                <w:highlight w:val="none"/>
                <w:lang w:bidi="ar"/>
                <w14:textFill>
                  <w14:solidFill>
                    <w14:schemeClr w14:val="tx1"/>
                  </w14:solidFill>
                </w14:textFill>
              </w:rPr>
              <w:t>计算预测点处的A声级。</w:t>
            </w:r>
          </w:p>
          <w:p w14:paraId="1FD7A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②室外声源</w:t>
            </w:r>
          </w:p>
          <w:p w14:paraId="0D3BFA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无指向性点声源几何发散衰减</w:t>
            </w:r>
          </w:p>
          <w:p w14:paraId="42CEA7BD">
            <w:pPr>
              <w:pStyle w:val="53"/>
              <w:keepNext w:val="0"/>
              <w:keepLines w:val="0"/>
              <w:pageBreakBefore w:val="0"/>
              <w:widowControl w:val="0"/>
              <w:kinsoku/>
              <w:wordWrap/>
              <w:overflowPunct/>
              <w:topLinePunct w:val="0"/>
              <w:autoSpaceDE/>
              <w:autoSpaceDN/>
              <w:bidi w:val="0"/>
              <w:adjustRightInd w:val="0"/>
              <w:snapToGrid w:val="0"/>
              <w:spacing w:line="360" w:lineRule="auto"/>
              <w:ind w:firstLine="452" w:firstLineChars="200"/>
              <w:jc w:val="both"/>
              <w:textAlignment w:val="auto"/>
              <w:rPr>
                <w:rFonts w:hint="default"/>
                <w:color w:val="000000" w:themeColor="text1"/>
                <w:sz w:val="24"/>
                <w:szCs w:val="24"/>
                <w:highlight w:val="none"/>
                <w:lang w:val="en-US" w:eastAsia="zh-CN"/>
                <w14:textFill>
                  <w14:solidFill>
                    <w14:schemeClr w14:val="tx1"/>
                  </w14:solidFill>
                </w14:textFill>
              </w:rPr>
            </w:pPr>
            <m:oMathPara>
              <m:oMath>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p</m:t>
                    </m:r>
                    <m:ctrlPr>
                      <w:rPr>
                        <w:rFonts w:hint="default" w:ascii="Cambria Math" w:hAnsi="Cambria Math"/>
                        <w:color w:val="000000"/>
                        <w:highlight w:val="none"/>
                      </w:rPr>
                    </m:ctrlPr>
                  </m:sub>
                </m:sSub>
                <m:d>
                  <m:dPr>
                    <m:ctrlPr>
                      <w:rPr>
                        <w:rFonts w:hint="default" w:ascii="Cambria Math" w:hAnsi="Cambria Math"/>
                        <w:i w:val="0"/>
                        <w:color w:val="000000"/>
                        <w:highlight w:val="none"/>
                      </w:rPr>
                    </m:ctrlPr>
                  </m:dPr>
                  <m:e>
                    <m:r>
                      <m:rPr>
                        <m:sty m:val="p"/>
                      </m:rPr>
                      <w:rPr>
                        <w:rFonts w:hint="default" w:ascii="Cambria Math" w:hAnsi="Cambria Math"/>
                        <w:color w:val="000000"/>
                        <w:highlight w:val="none"/>
                        <w:lang w:val="en-US" w:eastAsia="zh-CN"/>
                      </w:rPr>
                      <m:t>r</m:t>
                    </m:r>
                    <m:ctrlPr>
                      <w:rPr>
                        <w:rFonts w:hint="default" w:ascii="Cambria Math" w:hAnsi="Cambria Math"/>
                        <w:i w:val="0"/>
                        <w:color w:val="000000"/>
                        <w:highlight w:val="none"/>
                      </w:rPr>
                    </m:ctrlPr>
                  </m:e>
                </m:d>
                <m:r>
                  <m:rPr>
                    <m:sty m:val="p"/>
                  </m:rPr>
                  <w:rPr>
                    <w:rFonts w:hint="default" w:ascii="Cambria Math" w:hAnsi="Cambria Math"/>
                    <w:color w:val="000000"/>
                    <w:highlight w:val="none"/>
                    <w:lang w:val="en-US" w:eastAsia="zh-CN"/>
                  </w:rPr>
                  <m:t>=</m:t>
                </m:r>
                <m:sSub>
                  <m:sSubPr>
                    <m:ctrlPr>
                      <w:rPr>
                        <w:rFonts w:hint="default" w:ascii="Cambria Math" w:hAnsi="Cambria Math"/>
                        <w:color w:val="000000"/>
                        <w:highlight w:val="none"/>
                      </w:rPr>
                    </m:ctrlPr>
                  </m:sSubPr>
                  <m:e>
                    <m:r>
                      <m:rPr>
                        <m:sty m:val="p"/>
                      </m:rPr>
                      <w:rPr>
                        <w:rFonts w:hint="default" w:ascii="Cambria Math" w:hAnsi="Cambria Math"/>
                        <w:color w:val="000000"/>
                        <w:highlight w:val="none"/>
                        <w:lang w:val="en-US" w:eastAsia="zh-CN"/>
                      </w:rPr>
                      <m:t>L</m:t>
                    </m:r>
                    <m:ctrlPr>
                      <w:rPr>
                        <w:rFonts w:hint="default" w:ascii="Cambria Math" w:hAnsi="Cambria Math"/>
                        <w:color w:val="000000"/>
                        <w:highlight w:val="none"/>
                      </w:rPr>
                    </m:ctrlPr>
                  </m:e>
                  <m:sub>
                    <m:r>
                      <m:rPr>
                        <m:sty m:val="p"/>
                      </m:rPr>
                      <w:rPr>
                        <w:rFonts w:hint="default" w:ascii="Cambria Math" w:hAnsi="Cambria Math"/>
                        <w:color w:val="000000"/>
                        <w:highlight w:val="none"/>
                        <w:lang w:val="en-US" w:eastAsia="zh-CN"/>
                      </w:rPr>
                      <m:t>p</m:t>
                    </m:r>
                    <m:ctrlPr>
                      <w:rPr>
                        <w:rFonts w:hint="default" w:ascii="Cambria Math" w:hAnsi="Cambria Math"/>
                        <w:color w:val="000000"/>
                        <w:highlight w:val="none"/>
                      </w:rPr>
                    </m:ctrlPr>
                  </m:sub>
                </m:sSub>
                <m:d>
                  <m:dPr>
                    <m:ctrlPr>
                      <w:rPr>
                        <w:rFonts w:hint="default" w:ascii="Cambria Math" w:hAnsi="Cambria Math"/>
                        <w:color w:val="000000"/>
                        <w:highlight w:val="none"/>
                      </w:rPr>
                    </m:ctrlPr>
                  </m:dPr>
                  <m:e>
                    <m:sSub>
                      <m:sSubPr>
                        <m:ctrlPr>
                          <w:rPr>
                            <w:rFonts w:hint="default" w:ascii="Cambria Math" w:hAnsi="Cambria Math"/>
                            <w:b w:val="0"/>
                            <w:i w:val="0"/>
                            <w:color w:val="000000"/>
                            <w:highlight w:val="none"/>
                            <w:lang w:val="en-US" w:eastAsia="zh-CN"/>
                          </w:rPr>
                        </m:ctrlPr>
                      </m:sSubPr>
                      <m:e>
                        <m:r>
                          <m:rPr>
                            <m:sty m:val="p"/>
                          </m:rPr>
                          <w:rPr>
                            <w:rFonts w:hint="default" w:ascii="Cambria Math" w:hAnsi="Cambria Math"/>
                            <w:color w:val="000000"/>
                            <w:highlight w:val="none"/>
                            <w:lang w:val="en-US" w:eastAsia="zh-CN"/>
                          </w:rPr>
                          <m:t>r</m:t>
                        </m:r>
                        <m:ctrlPr>
                          <w:rPr>
                            <w:rFonts w:hint="default" w:ascii="Cambria Math" w:hAnsi="Cambria Math"/>
                            <w:b w:val="0"/>
                            <w:i w:val="0"/>
                            <w:color w:val="000000"/>
                            <w:highlight w:val="none"/>
                            <w:lang w:val="en-US" w:eastAsia="zh-CN"/>
                          </w:rPr>
                        </m:ctrlPr>
                      </m:e>
                      <m:sub>
                        <m:r>
                          <m:rPr>
                            <m:sty m:val="p"/>
                          </m:rPr>
                          <w:rPr>
                            <w:rFonts w:hint="default" w:ascii="Cambria Math" w:hAnsi="Cambria Math"/>
                            <w:color w:val="000000"/>
                            <w:highlight w:val="none"/>
                            <w:lang w:val="en-US" w:eastAsia="zh-CN"/>
                          </w:rPr>
                          <m:t>0</m:t>
                        </m:r>
                        <m:ctrlPr>
                          <w:rPr>
                            <w:rFonts w:hint="default" w:ascii="Cambria Math" w:hAnsi="Cambria Math"/>
                            <w:b w:val="0"/>
                            <w:i w:val="0"/>
                            <w:color w:val="000000"/>
                            <w:highlight w:val="none"/>
                            <w:lang w:val="en-US" w:eastAsia="zh-CN"/>
                          </w:rPr>
                        </m:ctrlPr>
                      </m:sub>
                    </m:sSub>
                    <m:ctrlPr>
                      <w:rPr>
                        <w:rFonts w:hint="default" w:ascii="Cambria Math" w:hAnsi="Cambria Math"/>
                        <w:color w:val="000000"/>
                        <w:highlight w:val="none"/>
                      </w:rPr>
                    </m:ctrlPr>
                  </m:e>
                </m:d>
                <m:r>
                  <m:rPr>
                    <m:sty m:val="p"/>
                  </m:rPr>
                  <w:rPr>
                    <w:rFonts w:hint="default" w:ascii="Cambria Math" w:hAnsi="Cambria Math"/>
                    <w:color w:val="000000"/>
                    <w:highlight w:val="none"/>
                    <w:lang w:val="en-US" w:eastAsia="zh-CN"/>
                  </w:rPr>
                  <m:t>+20lg</m:t>
                </m:r>
                <m:d>
                  <m:dPr>
                    <m:ctrlPr>
                      <w:rPr>
                        <w:rFonts w:hint="default" w:ascii="Cambria Math" w:hAnsi="Cambria Math"/>
                        <w:b w:val="0"/>
                        <w:i w:val="0"/>
                        <w:color w:val="000000"/>
                        <w:highlight w:val="none"/>
                        <w:lang w:val="en-US" w:eastAsia="zh-CN"/>
                      </w:rPr>
                    </m:ctrlPr>
                  </m:dPr>
                  <m:e>
                    <m:r>
                      <m:rPr>
                        <m:sty m:val="p"/>
                      </m:rPr>
                      <w:rPr>
                        <w:rFonts w:hint="default" w:ascii="Cambria Math" w:hAnsi="Cambria Math"/>
                        <w:color w:val="000000"/>
                        <w:highlight w:val="none"/>
                        <w:lang w:val="en-US" w:eastAsia="zh-CN"/>
                      </w:rPr>
                      <m:t>r/</m:t>
                    </m:r>
                    <m:sSub>
                      <m:sSubPr>
                        <m:ctrlPr>
                          <w:rPr>
                            <w:rFonts w:hint="default" w:ascii="Cambria Math" w:hAnsi="Cambria Math"/>
                            <w:b w:val="0"/>
                            <w:i w:val="0"/>
                            <w:color w:val="000000"/>
                            <w:highlight w:val="none"/>
                            <w:lang w:val="en-US" w:eastAsia="zh-CN"/>
                          </w:rPr>
                        </m:ctrlPr>
                      </m:sSubPr>
                      <m:e>
                        <m:r>
                          <m:rPr>
                            <m:sty m:val="p"/>
                          </m:rPr>
                          <w:rPr>
                            <w:rFonts w:hint="default" w:ascii="Cambria Math" w:hAnsi="Cambria Math"/>
                            <w:color w:val="000000"/>
                            <w:highlight w:val="none"/>
                            <w:lang w:val="en-US" w:eastAsia="zh-CN"/>
                          </w:rPr>
                          <m:t>r</m:t>
                        </m:r>
                        <m:ctrlPr>
                          <w:rPr>
                            <w:rFonts w:hint="default" w:ascii="Cambria Math" w:hAnsi="Cambria Math"/>
                            <w:b w:val="0"/>
                            <w:i w:val="0"/>
                            <w:color w:val="000000"/>
                            <w:highlight w:val="none"/>
                            <w:lang w:val="en-US" w:eastAsia="zh-CN"/>
                          </w:rPr>
                        </m:ctrlPr>
                      </m:e>
                      <m:sub>
                        <m:r>
                          <m:rPr>
                            <m:sty m:val="p"/>
                          </m:rPr>
                          <w:rPr>
                            <w:rFonts w:hint="default" w:ascii="Cambria Math" w:hAnsi="Cambria Math"/>
                            <w:color w:val="000000"/>
                            <w:highlight w:val="none"/>
                            <w:lang w:val="en-US" w:eastAsia="zh-CN"/>
                          </w:rPr>
                          <m:t>0</m:t>
                        </m:r>
                        <m:ctrlPr>
                          <w:rPr>
                            <w:rFonts w:hint="default" w:ascii="Cambria Math" w:hAnsi="Cambria Math"/>
                            <w:b w:val="0"/>
                            <w:i w:val="0"/>
                            <w:color w:val="000000"/>
                            <w:highlight w:val="none"/>
                            <w:lang w:val="en-US" w:eastAsia="zh-CN"/>
                          </w:rPr>
                        </m:ctrlPr>
                      </m:sub>
                    </m:sSub>
                    <m:ctrlPr>
                      <w:rPr>
                        <w:rFonts w:hint="default" w:ascii="Cambria Math" w:hAnsi="Cambria Math"/>
                        <w:b w:val="0"/>
                        <w:i w:val="0"/>
                        <w:color w:val="000000"/>
                        <w:highlight w:val="none"/>
                        <w:lang w:val="en-US" w:eastAsia="zh-CN"/>
                      </w:rPr>
                    </m:ctrlPr>
                  </m:e>
                </m:d>
              </m:oMath>
            </m:oMathPara>
          </w:p>
          <w:p w14:paraId="454348A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式中：L</w:t>
            </w:r>
            <w:r>
              <w:rPr>
                <w:rFonts w:hint="default"/>
                <w:color w:val="000000" w:themeColor="text1"/>
                <w:sz w:val="24"/>
                <w:szCs w:val="24"/>
                <w:highlight w:val="none"/>
                <w:vertAlign w:val="subscript"/>
                <w14:textFill>
                  <w14:solidFill>
                    <w14:schemeClr w14:val="tx1"/>
                  </w14:solidFill>
                </w14:textFill>
              </w:rPr>
              <w:t>p</w:t>
            </w:r>
            <w:r>
              <w:rPr>
                <w:rFonts w:hint="default"/>
                <w:color w:val="000000" w:themeColor="text1"/>
                <w:sz w:val="24"/>
                <w:szCs w:val="24"/>
                <w:highlight w:val="none"/>
                <w14:textFill>
                  <w14:solidFill>
                    <w14:schemeClr w14:val="tx1"/>
                  </w14:solidFill>
                </w14:textFill>
              </w:rPr>
              <w:t xml:space="preserve">(r) </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预测点处声压级，dB；</w:t>
            </w:r>
          </w:p>
          <w:p w14:paraId="252F535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L</w:t>
            </w:r>
            <w:r>
              <w:rPr>
                <w:rFonts w:hint="default"/>
                <w:color w:val="000000" w:themeColor="text1"/>
                <w:sz w:val="24"/>
                <w:szCs w:val="24"/>
                <w:highlight w:val="none"/>
                <w:vertAlign w:val="subscript"/>
                <w14:textFill>
                  <w14:solidFill>
                    <w14:schemeClr w14:val="tx1"/>
                  </w14:solidFill>
                </w14:textFill>
              </w:rPr>
              <w:t xml:space="preserve">p(r0) </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参考位置r0处的声压级，dB；</w:t>
            </w:r>
          </w:p>
          <w:p w14:paraId="1E5AE681">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 xml:space="preserve">r </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预测点距声源的距离；</w:t>
            </w:r>
          </w:p>
          <w:p w14:paraId="68C87C3C">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r</w:t>
            </w:r>
            <w:r>
              <w:rPr>
                <w:rFonts w:hint="default"/>
                <w:color w:val="000000" w:themeColor="text1"/>
                <w:sz w:val="24"/>
                <w:szCs w:val="24"/>
                <w:highlight w:val="none"/>
                <w:vertAlign w:val="subscript"/>
                <w14:textFill>
                  <w14:solidFill>
                    <w14:schemeClr w14:val="tx1"/>
                  </w14:solidFill>
                </w14:textFill>
              </w:rPr>
              <w:t>0</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参考位置距声源的距离。</w:t>
            </w:r>
          </w:p>
          <w:p w14:paraId="3D2AEB1B">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式中第二项表示了点声源的几何发散衰减：</w:t>
            </w:r>
          </w:p>
          <w:p w14:paraId="309FA724">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position w:val="-12"/>
                <w:sz w:val="24"/>
                <w:szCs w:val="24"/>
                <w:highlight w:val="none"/>
                <w14:textFill>
                  <w14:solidFill>
                    <w14:schemeClr w14:val="tx1"/>
                  </w14:solidFill>
                </w14:textFill>
              </w:rPr>
              <w:object>
                <v:shape id="_x0000_i1027" o:spt="75" type="#_x0000_t75" style="height:19.9pt;width:89.55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28" r:id="rId17">
                  <o:LockedField>false</o:LockedField>
                </o:OLEObject>
              </w:object>
            </w:r>
          </w:p>
          <w:p w14:paraId="709CCEAD">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eastAsia"/>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式中： Adiv—几何发散引起的A声级衰减量，dB</w:t>
            </w:r>
            <w:r>
              <w:rPr>
                <w:rFonts w:hint="eastAsia"/>
                <w:color w:val="000000" w:themeColor="text1"/>
                <w:sz w:val="24"/>
                <w:szCs w:val="24"/>
                <w:highlight w:val="none"/>
                <w:lang w:val="en-US" w:eastAsia="zh-CN"/>
                <w14:textFill>
                  <w14:solidFill>
                    <w14:schemeClr w14:val="tx1"/>
                  </w14:solidFill>
                </w14:textFill>
              </w:rPr>
              <w:t>;</w:t>
            </w:r>
          </w:p>
          <w:p w14:paraId="68FE3C64">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r</w:t>
            </w:r>
            <w:r>
              <w:rPr>
                <w:rFonts w:hint="default"/>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预测点距声源的距离</w:t>
            </w:r>
            <w:r>
              <w:rPr>
                <w:rFonts w:hint="default"/>
                <w:color w:val="000000" w:themeColor="text1"/>
                <w:sz w:val="24"/>
                <w:szCs w:val="24"/>
                <w:highlight w:val="none"/>
                <w14:textFill>
                  <w14:solidFill>
                    <w14:schemeClr w14:val="tx1"/>
                  </w14:solidFill>
                </w14:textFill>
              </w:rPr>
              <w:t>，dB；</w:t>
            </w:r>
          </w:p>
          <w:p w14:paraId="1AF9AEBE">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r0</w:t>
            </w:r>
            <w:r>
              <w:rPr>
                <w:rFonts w:hint="default"/>
                <w:color w:val="000000" w:themeColor="text1"/>
                <w:sz w:val="24"/>
                <w:szCs w:val="24"/>
                <w:highlight w:val="none"/>
                <w14:textFill>
                  <w14:solidFill>
                    <w14:schemeClr w14:val="tx1"/>
                  </w14:solidFill>
                </w14:textFill>
              </w:rPr>
              <w:t>—参考位置</w:t>
            </w:r>
            <w:r>
              <w:rPr>
                <w:rFonts w:hint="eastAsia"/>
                <w:color w:val="000000" w:themeColor="text1"/>
                <w:sz w:val="24"/>
                <w:szCs w:val="24"/>
                <w:highlight w:val="none"/>
                <w:lang w:val="en-US" w:eastAsia="zh-CN"/>
                <w14:textFill>
                  <w14:solidFill>
                    <w14:schemeClr w14:val="tx1"/>
                  </w14:solidFill>
                </w14:textFill>
              </w:rPr>
              <w:t>距声源的距离</w:t>
            </w:r>
            <w:r>
              <w:rPr>
                <w:rFonts w:hint="default"/>
                <w:color w:val="000000" w:themeColor="text1"/>
                <w:sz w:val="24"/>
                <w:szCs w:val="24"/>
                <w:highlight w:val="none"/>
                <w14:textFill>
                  <w14:solidFill>
                    <w14:schemeClr w14:val="tx1"/>
                  </w14:solidFill>
                </w14:textFill>
              </w:rPr>
              <w:t>，dB；</w:t>
            </w:r>
          </w:p>
          <w:p w14:paraId="5C3A6513">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③</w:t>
            </w:r>
            <w:r>
              <w:rPr>
                <w:rFonts w:hint="default"/>
                <w:color w:val="000000" w:themeColor="text1"/>
                <w:sz w:val="24"/>
                <w:szCs w:val="24"/>
                <w:highlight w:val="none"/>
                <w14:textFill>
                  <w14:solidFill>
                    <w14:schemeClr w14:val="tx1"/>
                  </w14:solidFill>
                </w14:textFill>
              </w:rPr>
              <w:t>总声级的计算</w:t>
            </w:r>
          </w:p>
          <w:p w14:paraId="01E92E60">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设第i个室外声源在预测点产生的A声级为L</w:t>
            </w:r>
            <w:r>
              <w:rPr>
                <w:rFonts w:hint="default"/>
                <w:color w:val="000000" w:themeColor="text1"/>
                <w:sz w:val="24"/>
                <w:szCs w:val="24"/>
                <w:highlight w:val="none"/>
                <w:vertAlign w:val="subscript"/>
                <w14:textFill>
                  <w14:solidFill>
                    <w14:schemeClr w14:val="tx1"/>
                  </w14:solidFill>
                </w14:textFill>
              </w:rPr>
              <w:t>Ain,i</w:t>
            </w:r>
            <w:r>
              <w:rPr>
                <w:rFonts w:hint="default"/>
                <w:color w:val="000000" w:themeColor="text1"/>
                <w:sz w:val="24"/>
                <w:szCs w:val="24"/>
                <w:highlight w:val="none"/>
                <w14:textFill>
                  <w14:solidFill>
                    <w14:schemeClr w14:val="tx1"/>
                  </w14:solidFill>
                </w14:textFill>
              </w:rPr>
              <w:t>，在T时间内该声源工作时间为t</w:t>
            </w:r>
            <w:r>
              <w:rPr>
                <w:rFonts w:hint="default"/>
                <w:color w:val="000000" w:themeColor="text1"/>
                <w:sz w:val="24"/>
                <w:szCs w:val="24"/>
                <w:highlight w:val="none"/>
                <w:vertAlign w:val="subscript"/>
                <w14:textFill>
                  <w14:solidFill>
                    <w14:schemeClr w14:val="tx1"/>
                  </w14:solidFill>
                </w14:textFill>
              </w:rPr>
              <w:t>in,i</w:t>
            </w:r>
            <w:r>
              <w:rPr>
                <w:rFonts w:hint="default"/>
                <w:color w:val="000000" w:themeColor="text1"/>
                <w:sz w:val="24"/>
                <w:szCs w:val="24"/>
                <w:highlight w:val="none"/>
                <w14:textFill>
                  <w14:solidFill>
                    <w14:schemeClr w14:val="tx1"/>
                  </w14:solidFill>
                </w14:textFill>
              </w:rPr>
              <w:t>；设第j个等效室外声源在预测点产生的A声级为L</w:t>
            </w:r>
            <w:r>
              <w:rPr>
                <w:rFonts w:hint="default"/>
                <w:color w:val="000000" w:themeColor="text1"/>
                <w:sz w:val="24"/>
                <w:szCs w:val="24"/>
                <w:highlight w:val="none"/>
                <w:vertAlign w:val="subscript"/>
                <w14:textFill>
                  <w14:solidFill>
                    <w14:schemeClr w14:val="tx1"/>
                  </w14:solidFill>
                </w14:textFill>
              </w:rPr>
              <w:t>Ajout,j</w:t>
            </w:r>
            <w:r>
              <w:rPr>
                <w:rFonts w:hint="default"/>
                <w:color w:val="000000" w:themeColor="text1"/>
                <w:sz w:val="24"/>
                <w:szCs w:val="24"/>
                <w:highlight w:val="none"/>
                <w14:textFill>
                  <w14:solidFill>
                    <w14:schemeClr w14:val="tx1"/>
                  </w14:solidFill>
                </w14:textFill>
              </w:rPr>
              <w:t>，在T时间内该声源工作时间为t</w:t>
            </w:r>
            <w:r>
              <w:rPr>
                <w:rFonts w:hint="default"/>
                <w:color w:val="000000" w:themeColor="text1"/>
                <w:sz w:val="24"/>
                <w:szCs w:val="24"/>
                <w:highlight w:val="none"/>
                <w:vertAlign w:val="subscript"/>
                <w14:textFill>
                  <w14:solidFill>
                    <w14:schemeClr w14:val="tx1"/>
                  </w14:solidFill>
                </w14:textFill>
              </w:rPr>
              <w:t>in,j</w:t>
            </w:r>
            <w:r>
              <w:rPr>
                <w:rFonts w:hint="default"/>
                <w:color w:val="000000" w:themeColor="text1"/>
                <w:sz w:val="24"/>
                <w:szCs w:val="24"/>
                <w:highlight w:val="none"/>
                <w14:textFill>
                  <w14:solidFill>
                    <w14:schemeClr w14:val="tx1"/>
                  </w14:solidFill>
                </w14:textFill>
              </w:rPr>
              <w:t>，则预测点的总有效声级为：</w:t>
            </w:r>
          </w:p>
          <w:p w14:paraId="61995D77">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position w:val="-30"/>
                <w:sz w:val="24"/>
                <w:szCs w:val="24"/>
                <w:highlight w:val="none"/>
                <w14:textFill>
                  <w14:solidFill>
                    <w14:schemeClr w14:val="tx1"/>
                  </w14:solidFill>
                </w14:textFill>
              </w:rPr>
              <w:object>
                <v:shape id="_x0000_i1028" o:spt="75" type="#_x0000_t75" style="height:37.5pt;width:209.4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9" r:id="rId19">
                  <o:LockedField>false</o:LockedField>
                </o:OLEObject>
              </w:object>
            </w:r>
          </w:p>
          <w:p w14:paraId="3E5778BA">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eastAsia"/>
                <w:color w:val="000000" w:themeColor="text1"/>
                <w:sz w:val="24"/>
                <w:szCs w:val="24"/>
                <w:highlight w:val="none"/>
                <w:lang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式中：</w:t>
            </w:r>
            <w:r>
              <w:rPr>
                <w:rFonts w:hint="default" w:ascii="Times New Roman" w:hAnsi="Times New Roman" w:cs="Times New Roman"/>
                <w:color w:val="000000" w:themeColor="text1"/>
                <w:position w:val="-14"/>
                <w:sz w:val="24"/>
                <w:szCs w:val="24"/>
                <w:highlight w:val="none"/>
                <w14:textFill>
                  <w14:solidFill>
                    <w14:schemeClr w14:val="tx1"/>
                  </w14:solidFill>
                </w14:textFill>
              </w:rPr>
              <w:object>
                <v:shape id="_x0000_i1029" o:spt="75" type="#_x0000_t75" style="height:19pt;width:22pt;" o:ole="t" filled="f" o:preferrelative="t" stroked="f" coordsize="21600,21600">
                  <v:path/>
                  <v:fill on="f" focussize="0,0"/>
                  <v:stroke on="f"/>
                  <v:imagedata r:id="rId22" o:title=""/>
                  <o:lock v:ext="edit" aspectratio="t"/>
                  <w10:wrap type="none"/>
                  <w10:anchorlock/>
                </v:shape>
                <o:OLEObject Type="Embed" ProgID="Equation.KSEE3" ShapeID="_x0000_i1029" DrawAspect="Content" ObjectID="_1468075730" r:id="rId21">
                  <o:LockedField>false</o:LockedField>
                </o:OLEObject>
              </w:object>
            </w:r>
            <w:r>
              <w:rPr>
                <w:rFonts w:hint="default"/>
                <w:color w:val="000000" w:themeColor="text1"/>
                <w:sz w:val="24"/>
                <w:szCs w:val="24"/>
                <w:highlight w:val="none"/>
                <w14:textFill>
                  <w14:solidFill>
                    <w14:schemeClr w14:val="tx1"/>
                  </w14:solidFill>
                </w14:textFill>
              </w:rPr>
              <w:t>—建设项目声源在预测点产生的噪声贡献值，dB</w:t>
            </w:r>
            <w:r>
              <w:rPr>
                <w:rFonts w:hint="eastAsia"/>
                <w:color w:val="000000" w:themeColor="text1"/>
                <w:sz w:val="24"/>
                <w:szCs w:val="24"/>
                <w:highlight w:val="none"/>
                <w:lang w:eastAsia="zh-CN"/>
                <w14:textFill>
                  <w14:solidFill>
                    <w14:schemeClr w14:val="tx1"/>
                  </w14:solidFill>
                </w14:textFill>
              </w:rPr>
              <w:t>；</w:t>
            </w:r>
          </w:p>
          <w:p w14:paraId="55095D9C">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T —用于计算等效声级的时间，s； </w:t>
            </w:r>
          </w:p>
          <w:p w14:paraId="2D674BA3">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N —室外声源个数； </w:t>
            </w:r>
          </w:p>
          <w:p w14:paraId="3C5746F4">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t</w:t>
            </w:r>
            <w:r>
              <w:rPr>
                <w:rFonts w:hint="eastAsia"/>
                <w:color w:val="000000" w:themeColor="text1"/>
                <w:sz w:val="24"/>
                <w:szCs w:val="24"/>
                <w:highlight w:val="none"/>
                <w:vertAlign w:val="subscript"/>
                <w:lang w:val="en-US" w:eastAsia="zh-CN"/>
                <w14:textFill>
                  <w14:solidFill>
                    <w14:schemeClr w14:val="tx1"/>
                  </w14:solidFill>
                </w14:textFill>
              </w:rPr>
              <w:t xml:space="preserve"> </w:t>
            </w:r>
            <w:r>
              <w:rPr>
                <w:rFonts w:hint="default"/>
                <w:color w:val="000000" w:themeColor="text1"/>
                <w:sz w:val="24"/>
                <w:szCs w:val="24"/>
                <w:highlight w:val="none"/>
                <w:vertAlign w:val="subscript"/>
                <w:lang w:val="en-US" w:eastAsia="zh-CN"/>
                <w14:textFill>
                  <w14:solidFill>
                    <w14:schemeClr w14:val="tx1"/>
                  </w14:solidFill>
                </w14:textFill>
              </w:rPr>
              <w:t xml:space="preserve">i </w:t>
            </w:r>
            <w:r>
              <w:rPr>
                <w:rFonts w:hint="default"/>
                <w:color w:val="000000" w:themeColor="text1"/>
                <w:sz w:val="24"/>
                <w:szCs w:val="24"/>
                <w:highlight w:val="none"/>
                <w:lang w:val="en-US" w:eastAsia="zh-CN"/>
                <w14:textFill>
                  <w14:solidFill>
                    <w14:schemeClr w14:val="tx1"/>
                  </w14:solidFill>
                </w14:textFill>
              </w:rPr>
              <w:t xml:space="preserve">—在T时间内 i 声源工作时间，s； </w:t>
            </w:r>
          </w:p>
          <w:p w14:paraId="14DD5B12">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M —等效室外声源个数； </w:t>
            </w:r>
          </w:p>
          <w:p w14:paraId="599777AB">
            <w:pPr>
              <w:pStyle w:val="53"/>
              <w:keepNext w:val="0"/>
              <w:keepLines w:val="0"/>
              <w:pageBreakBefore w:val="0"/>
              <w:widowControl w:val="0"/>
              <w:kinsoku/>
              <w:wordWrap/>
              <w:overflowPunct/>
              <w:topLinePunct w:val="0"/>
              <w:autoSpaceDE/>
              <w:autoSpaceDN/>
              <w:bidi w:val="0"/>
              <w:adjustRightInd w:val="0"/>
              <w:snapToGrid w:val="0"/>
              <w:spacing w:line="360" w:lineRule="auto"/>
              <w:ind w:firstLine="512" w:firstLineChars="200"/>
              <w:jc w:val="both"/>
              <w:textAlignment w:val="auto"/>
              <w:rPr>
                <w:rFonts w:hint="eastAsia" w:eastAsia="宋体"/>
                <w:color w:val="000000" w:themeColor="text1"/>
                <w:sz w:val="24"/>
                <w:szCs w:val="24"/>
                <w:highlight w:val="none"/>
                <w:lang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t </w:t>
            </w:r>
            <w:r>
              <w:rPr>
                <w:rFonts w:hint="default"/>
                <w:color w:val="000000" w:themeColor="text1"/>
                <w:sz w:val="24"/>
                <w:szCs w:val="24"/>
                <w:highlight w:val="none"/>
                <w:vertAlign w:val="subscript"/>
                <w:lang w:val="en-US" w:eastAsia="zh-CN"/>
                <w14:textFill>
                  <w14:solidFill>
                    <w14:schemeClr w14:val="tx1"/>
                  </w14:solidFill>
                </w14:textFill>
              </w:rPr>
              <w:t>j</w:t>
            </w:r>
            <w:r>
              <w:rPr>
                <w:rFonts w:hint="default"/>
                <w:color w:val="000000" w:themeColor="text1"/>
                <w:sz w:val="24"/>
                <w:szCs w:val="24"/>
                <w:highlight w:val="none"/>
                <w:lang w:val="en-US" w:eastAsia="zh-CN"/>
                <w14:textFill>
                  <w14:solidFill>
                    <w14:schemeClr w14:val="tx1"/>
                  </w14:solidFill>
                </w14:textFill>
              </w:rPr>
              <w:t xml:space="preserve"> —在T时间内 j 声源工作时间，s</w:t>
            </w:r>
            <w:r>
              <w:rPr>
                <w:rFonts w:hint="eastAsia"/>
                <w:color w:val="000000" w:themeColor="text1"/>
                <w:sz w:val="24"/>
                <w:szCs w:val="24"/>
                <w:highlight w:val="none"/>
                <w:lang w:eastAsia="zh-CN"/>
                <w14:textFill>
                  <w14:solidFill>
                    <w14:schemeClr w14:val="tx1"/>
                  </w14:solidFill>
                </w14:textFill>
              </w:rPr>
              <w:t>。</w:t>
            </w:r>
          </w:p>
          <w:p w14:paraId="247905B3">
            <w:pPr>
              <w:pStyle w:val="42"/>
              <w:keepNext w:val="0"/>
              <w:keepLines w:val="0"/>
              <w:pageBreakBefore w:val="0"/>
              <w:widowControl w:val="0"/>
              <w:kinsoku/>
              <w:wordWrap/>
              <w:overflowPunct/>
              <w:topLinePunct w:val="0"/>
              <w:bidi w:val="0"/>
              <w:adjustRightInd w:val="0"/>
              <w:snapToGrid w:val="0"/>
              <w:spacing w:line="360" w:lineRule="auto"/>
              <w:ind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（3）预测结果</w:t>
            </w:r>
          </w:p>
          <w:p w14:paraId="45201C91">
            <w:pPr>
              <w:pStyle w:val="42"/>
              <w:keepNext w:val="0"/>
              <w:keepLines w:val="0"/>
              <w:pageBreakBefore w:val="0"/>
              <w:widowControl w:val="0"/>
              <w:kinsoku/>
              <w:wordWrap/>
              <w:overflowPunct/>
              <w:topLinePunct w:val="0"/>
              <w:bidi w:val="0"/>
              <w:adjustRightInd w:val="0"/>
              <w:snapToGrid w:val="0"/>
              <w:spacing w:line="360" w:lineRule="auto"/>
              <w:ind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根据上述的预测方法和模式，根据高噪声设备数量及距厂界距离，</w:t>
            </w:r>
            <w:r>
              <w:rPr>
                <w:rFonts w:hint="default" w:ascii="Times New Roman" w:hAnsi="Times New Roman" w:eastAsia="宋体" w:cs="Times New Roman"/>
                <w:color w:val="auto"/>
                <w:sz w:val="24"/>
                <w:szCs w:val="24"/>
                <w:lang w:val="en-GB" w:eastAsia="zh-CN"/>
              </w:rPr>
              <w:t>在考虑采取设备噪声隔声、减振、消声等措施的情况下，</w:t>
            </w:r>
            <w:r>
              <w:rPr>
                <w:rFonts w:hint="default" w:ascii="Times New Roman" w:hAnsi="Times New Roman" w:eastAsia="宋体" w:cs="Times New Roman"/>
                <w:color w:val="auto"/>
                <w:sz w:val="24"/>
                <w:szCs w:val="24"/>
                <w:lang w:val="en-US" w:eastAsia="zh-CN"/>
              </w:rPr>
              <w:t>计算对距离最近的四个厂界的噪声贡献值，</w:t>
            </w:r>
            <w:r>
              <w:rPr>
                <w:rFonts w:hint="default" w:ascii="Times New Roman" w:hAnsi="Times New Roman" w:eastAsia="宋体" w:cs="Times New Roman"/>
                <w:color w:val="auto"/>
                <w:sz w:val="24"/>
                <w:szCs w:val="24"/>
                <w:lang w:val="en-GB" w:eastAsia="zh-CN"/>
              </w:rPr>
              <w:t>预测结果见下表</w:t>
            </w:r>
            <w:r>
              <w:rPr>
                <w:rFonts w:hint="default" w:ascii="Times New Roman" w:hAnsi="Times New Roman" w:eastAsia="宋体" w:cs="Times New Roman"/>
                <w:color w:val="auto"/>
                <w:sz w:val="24"/>
                <w:szCs w:val="24"/>
                <w:lang w:val="en-US" w:eastAsia="zh-CN"/>
              </w:rPr>
              <w:t>。</w:t>
            </w:r>
          </w:p>
          <w:p w14:paraId="39B820C8">
            <w:pPr>
              <w:spacing w:line="36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7</w:t>
            </w:r>
            <w:r>
              <w:rPr>
                <w:rFonts w:hint="eastAsia" w:ascii="Times New Roman" w:hAnsi="Times New Roman" w:eastAsia="宋体" w:cs="Times New Roman"/>
                <w:b/>
                <w:color w:val="auto"/>
                <w:sz w:val="21"/>
                <w:szCs w:val="21"/>
                <w:lang w:val="en-US" w:eastAsia="zh-CN"/>
              </w:rPr>
              <w:t xml:space="preserve">  </w:t>
            </w:r>
            <w:r>
              <w:rPr>
                <w:rFonts w:hint="eastAsia" w:cs="Times New Roman"/>
                <w:b/>
                <w:color w:val="auto"/>
                <w:sz w:val="21"/>
                <w:szCs w:val="21"/>
                <w:lang w:val="en-US" w:eastAsia="zh-CN"/>
              </w:rPr>
              <w:t>各</w:t>
            </w:r>
            <w:r>
              <w:rPr>
                <w:rFonts w:hint="default" w:ascii="Times New Roman" w:hAnsi="Times New Roman" w:eastAsia="宋体" w:cs="Times New Roman"/>
                <w:b/>
                <w:color w:val="auto"/>
                <w:sz w:val="21"/>
                <w:szCs w:val="21"/>
              </w:rPr>
              <w:t>厂界噪声达标情况</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61"/>
              <w:gridCol w:w="1802"/>
              <w:gridCol w:w="1050"/>
              <w:gridCol w:w="1002"/>
              <w:gridCol w:w="1156"/>
              <w:gridCol w:w="1165"/>
            </w:tblGrid>
            <w:tr w14:paraId="13D9F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14" w:type="pct"/>
                  <w:vMerge w:val="restart"/>
                  <w:tcBorders>
                    <w:tl2br w:val="nil"/>
                    <w:tr2bl w:val="nil"/>
                  </w:tcBorders>
                  <w:noWrap w:val="0"/>
                  <w:vAlign w:val="center"/>
                </w:tcPr>
                <w:p w14:paraId="6CCED7FB">
                  <w:pPr>
                    <w:adjustRightInd w:val="0"/>
                    <w:jc w:val="center"/>
                    <w:rPr>
                      <w:color w:val="auto"/>
                      <w:sz w:val="21"/>
                      <w:szCs w:val="21"/>
                    </w:rPr>
                  </w:pPr>
                  <w:r>
                    <w:rPr>
                      <w:rFonts w:hint="eastAsia"/>
                      <w:color w:val="auto"/>
                      <w:sz w:val="21"/>
                      <w:szCs w:val="21"/>
                    </w:rPr>
                    <w:t>序号</w:t>
                  </w:r>
                </w:p>
              </w:tc>
              <w:tc>
                <w:tcPr>
                  <w:tcW w:w="925" w:type="pct"/>
                  <w:vMerge w:val="restart"/>
                  <w:tcBorders>
                    <w:tl2br w:val="nil"/>
                    <w:tr2bl w:val="nil"/>
                  </w:tcBorders>
                  <w:noWrap w:val="0"/>
                  <w:vAlign w:val="center"/>
                </w:tcPr>
                <w:p w14:paraId="0E596016">
                  <w:pPr>
                    <w:adjustRightInd w:val="0"/>
                    <w:jc w:val="center"/>
                    <w:rPr>
                      <w:color w:val="auto"/>
                      <w:sz w:val="21"/>
                      <w:szCs w:val="21"/>
                    </w:rPr>
                  </w:pPr>
                  <w:r>
                    <w:rPr>
                      <w:rFonts w:hint="eastAsia"/>
                      <w:color w:val="auto"/>
                      <w:sz w:val="21"/>
                      <w:szCs w:val="21"/>
                    </w:rPr>
                    <w:t>厂界点</w:t>
                  </w:r>
                </w:p>
              </w:tc>
              <w:tc>
                <w:tcPr>
                  <w:tcW w:w="1068" w:type="pct"/>
                  <w:vMerge w:val="restart"/>
                  <w:tcBorders>
                    <w:tl2br w:val="nil"/>
                    <w:tr2bl w:val="nil"/>
                  </w:tcBorders>
                  <w:noWrap w:val="0"/>
                  <w:vAlign w:val="center"/>
                </w:tcPr>
                <w:p w14:paraId="6ACA6EDA">
                  <w:pPr>
                    <w:adjustRightInd w:val="0"/>
                    <w:jc w:val="center"/>
                    <w:rPr>
                      <w:rFonts w:hint="default" w:eastAsia="宋体"/>
                      <w:color w:val="auto"/>
                      <w:sz w:val="21"/>
                      <w:szCs w:val="21"/>
                      <w:lang w:val="en-US" w:eastAsia="zh-CN"/>
                    </w:rPr>
                  </w:pPr>
                  <w:r>
                    <w:rPr>
                      <w:rFonts w:hint="eastAsia"/>
                      <w:color w:val="auto"/>
                      <w:sz w:val="21"/>
                      <w:szCs w:val="21"/>
                      <w:lang w:val="en-US" w:eastAsia="zh-CN"/>
                    </w:rPr>
                    <w:t>贡献值</w:t>
                  </w:r>
                </w:p>
              </w:tc>
              <w:tc>
                <w:tcPr>
                  <w:tcW w:w="1216" w:type="pct"/>
                  <w:gridSpan w:val="2"/>
                  <w:tcBorders>
                    <w:tl2br w:val="nil"/>
                    <w:tr2bl w:val="nil"/>
                  </w:tcBorders>
                  <w:noWrap w:val="0"/>
                  <w:vAlign w:val="center"/>
                </w:tcPr>
                <w:p w14:paraId="558BB24F">
                  <w:pPr>
                    <w:adjustRightInd w:val="0"/>
                    <w:jc w:val="center"/>
                    <w:rPr>
                      <w:color w:val="auto"/>
                      <w:sz w:val="21"/>
                      <w:szCs w:val="21"/>
                    </w:rPr>
                  </w:pPr>
                  <w:r>
                    <w:rPr>
                      <w:rFonts w:hint="eastAsia"/>
                      <w:color w:val="auto"/>
                      <w:sz w:val="21"/>
                      <w:szCs w:val="21"/>
                    </w:rPr>
                    <w:t>标准值</w:t>
                  </w:r>
                </w:p>
              </w:tc>
              <w:tc>
                <w:tcPr>
                  <w:tcW w:w="1375" w:type="pct"/>
                  <w:gridSpan w:val="2"/>
                  <w:tcBorders>
                    <w:tl2br w:val="nil"/>
                    <w:tr2bl w:val="nil"/>
                  </w:tcBorders>
                  <w:noWrap w:val="0"/>
                  <w:vAlign w:val="center"/>
                </w:tcPr>
                <w:p w14:paraId="652489F9">
                  <w:pPr>
                    <w:adjustRightInd w:val="0"/>
                    <w:jc w:val="center"/>
                    <w:rPr>
                      <w:color w:val="auto"/>
                      <w:sz w:val="21"/>
                      <w:szCs w:val="21"/>
                    </w:rPr>
                  </w:pPr>
                  <w:r>
                    <w:rPr>
                      <w:rFonts w:hint="eastAsia"/>
                      <w:color w:val="auto"/>
                      <w:sz w:val="21"/>
                      <w:szCs w:val="21"/>
                    </w:rPr>
                    <w:t>是否达标</w:t>
                  </w:r>
                </w:p>
              </w:tc>
            </w:tr>
            <w:tr w14:paraId="215FC1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14" w:type="pct"/>
                  <w:vMerge w:val="continue"/>
                  <w:tcBorders>
                    <w:tl2br w:val="nil"/>
                    <w:tr2bl w:val="nil"/>
                  </w:tcBorders>
                  <w:noWrap w:val="0"/>
                  <w:vAlign w:val="center"/>
                </w:tcPr>
                <w:p w14:paraId="5BE76D1F">
                  <w:pPr>
                    <w:widowControl/>
                    <w:jc w:val="left"/>
                    <w:rPr>
                      <w:color w:val="auto"/>
                      <w:sz w:val="21"/>
                      <w:szCs w:val="21"/>
                    </w:rPr>
                  </w:pPr>
                </w:p>
              </w:tc>
              <w:tc>
                <w:tcPr>
                  <w:tcW w:w="925" w:type="pct"/>
                  <w:vMerge w:val="continue"/>
                  <w:tcBorders>
                    <w:tl2br w:val="nil"/>
                    <w:tr2bl w:val="nil"/>
                  </w:tcBorders>
                  <w:noWrap w:val="0"/>
                  <w:vAlign w:val="center"/>
                </w:tcPr>
                <w:p w14:paraId="2536BDEA">
                  <w:pPr>
                    <w:widowControl/>
                    <w:jc w:val="left"/>
                    <w:rPr>
                      <w:color w:val="auto"/>
                      <w:sz w:val="21"/>
                      <w:szCs w:val="21"/>
                    </w:rPr>
                  </w:pPr>
                </w:p>
              </w:tc>
              <w:tc>
                <w:tcPr>
                  <w:tcW w:w="1068" w:type="pct"/>
                  <w:vMerge w:val="continue"/>
                  <w:tcBorders>
                    <w:tl2br w:val="nil"/>
                    <w:tr2bl w:val="nil"/>
                  </w:tcBorders>
                  <w:noWrap w:val="0"/>
                  <w:vAlign w:val="center"/>
                </w:tcPr>
                <w:p w14:paraId="215C25B9">
                  <w:pPr>
                    <w:adjustRightInd w:val="0"/>
                    <w:jc w:val="center"/>
                    <w:rPr>
                      <w:rFonts w:hint="eastAsia" w:ascii="Times New Roman" w:hAnsi="Times New Roman" w:eastAsia="宋体" w:cs="Times New Roman"/>
                      <w:color w:val="auto"/>
                      <w:kern w:val="2"/>
                      <w:sz w:val="21"/>
                      <w:szCs w:val="21"/>
                      <w:lang w:val="en-US" w:eastAsia="zh-CN" w:bidi="ar-SA"/>
                    </w:rPr>
                  </w:pPr>
                </w:p>
              </w:tc>
              <w:tc>
                <w:tcPr>
                  <w:tcW w:w="622" w:type="pct"/>
                  <w:tcBorders>
                    <w:tl2br w:val="nil"/>
                    <w:tr2bl w:val="nil"/>
                  </w:tcBorders>
                  <w:noWrap w:val="0"/>
                  <w:vAlign w:val="center"/>
                </w:tcPr>
                <w:p w14:paraId="60348D97">
                  <w:pPr>
                    <w:adjustRightInd w:val="0"/>
                    <w:jc w:val="center"/>
                    <w:rPr>
                      <w:color w:val="auto"/>
                      <w:sz w:val="21"/>
                      <w:szCs w:val="21"/>
                    </w:rPr>
                  </w:pPr>
                  <w:r>
                    <w:rPr>
                      <w:rFonts w:hint="eastAsia"/>
                      <w:color w:val="auto"/>
                      <w:sz w:val="21"/>
                      <w:szCs w:val="21"/>
                    </w:rPr>
                    <w:t>昼间</w:t>
                  </w:r>
                </w:p>
              </w:tc>
              <w:tc>
                <w:tcPr>
                  <w:tcW w:w="593" w:type="pct"/>
                  <w:tcBorders>
                    <w:tl2br w:val="nil"/>
                    <w:tr2bl w:val="nil"/>
                  </w:tcBorders>
                  <w:noWrap w:val="0"/>
                  <w:vAlign w:val="center"/>
                </w:tcPr>
                <w:p w14:paraId="5A093FE1">
                  <w:pPr>
                    <w:adjustRightInd w:val="0"/>
                    <w:jc w:val="center"/>
                    <w:rPr>
                      <w:color w:val="auto"/>
                      <w:sz w:val="21"/>
                      <w:szCs w:val="21"/>
                    </w:rPr>
                  </w:pPr>
                  <w:r>
                    <w:rPr>
                      <w:rFonts w:hint="eastAsia"/>
                      <w:color w:val="auto"/>
                      <w:sz w:val="21"/>
                      <w:szCs w:val="21"/>
                    </w:rPr>
                    <w:t>夜间</w:t>
                  </w:r>
                </w:p>
              </w:tc>
              <w:tc>
                <w:tcPr>
                  <w:tcW w:w="685" w:type="pct"/>
                  <w:tcBorders>
                    <w:tl2br w:val="nil"/>
                    <w:tr2bl w:val="nil"/>
                  </w:tcBorders>
                  <w:noWrap w:val="0"/>
                  <w:vAlign w:val="center"/>
                </w:tcPr>
                <w:p w14:paraId="3484B431">
                  <w:pPr>
                    <w:adjustRightInd w:val="0"/>
                    <w:jc w:val="center"/>
                    <w:rPr>
                      <w:color w:val="auto"/>
                      <w:sz w:val="21"/>
                      <w:szCs w:val="21"/>
                    </w:rPr>
                  </w:pPr>
                  <w:r>
                    <w:rPr>
                      <w:rFonts w:hint="eastAsia"/>
                      <w:color w:val="auto"/>
                      <w:sz w:val="21"/>
                      <w:szCs w:val="21"/>
                    </w:rPr>
                    <w:t>昼间</w:t>
                  </w:r>
                </w:p>
              </w:tc>
              <w:tc>
                <w:tcPr>
                  <w:tcW w:w="690" w:type="pct"/>
                  <w:tcBorders>
                    <w:tl2br w:val="nil"/>
                    <w:tr2bl w:val="nil"/>
                  </w:tcBorders>
                  <w:noWrap w:val="0"/>
                  <w:vAlign w:val="center"/>
                </w:tcPr>
                <w:p w14:paraId="3A3CA606">
                  <w:pPr>
                    <w:adjustRightInd w:val="0"/>
                    <w:jc w:val="center"/>
                    <w:rPr>
                      <w:color w:val="auto"/>
                      <w:sz w:val="21"/>
                      <w:szCs w:val="21"/>
                    </w:rPr>
                  </w:pPr>
                  <w:r>
                    <w:rPr>
                      <w:rFonts w:hint="eastAsia"/>
                      <w:color w:val="auto"/>
                      <w:sz w:val="21"/>
                      <w:szCs w:val="21"/>
                    </w:rPr>
                    <w:t>夜间</w:t>
                  </w:r>
                </w:p>
              </w:tc>
            </w:tr>
            <w:tr w14:paraId="099700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4" w:type="pct"/>
                  <w:tcBorders>
                    <w:tl2br w:val="nil"/>
                    <w:tr2bl w:val="nil"/>
                  </w:tcBorders>
                  <w:noWrap w:val="0"/>
                  <w:vAlign w:val="center"/>
                </w:tcPr>
                <w:p w14:paraId="2E0A44D6">
                  <w:pPr>
                    <w:adjustRightInd w:val="0"/>
                    <w:jc w:val="center"/>
                    <w:rPr>
                      <w:color w:val="auto"/>
                      <w:sz w:val="21"/>
                      <w:szCs w:val="21"/>
                    </w:rPr>
                  </w:pPr>
                  <w:r>
                    <w:rPr>
                      <w:color w:val="auto"/>
                      <w:sz w:val="21"/>
                      <w:szCs w:val="21"/>
                    </w:rPr>
                    <w:t>1</w:t>
                  </w:r>
                </w:p>
              </w:tc>
              <w:tc>
                <w:tcPr>
                  <w:tcW w:w="925" w:type="pct"/>
                  <w:tcBorders>
                    <w:tl2br w:val="nil"/>
                    <w:tr2bl w:val="nil"/>
                  </w:tcBorders>
                  <w:noWrap w:val="0"/>
                  <w:vAlign w:val="center"/>
                </w:tcPr>
                <w:p w14:paraId="769FD2D2">
                  <w:pPr>
                    <w:adjustRightInd w:val="0"/>
                    <w:jc w:val="center"/>
                    <w:rPr>
                      <w:color w:val="auto"/>
                      <w:sz w:val="21"/>
                      <w:szCs w:val="21"/>
                    </w:rPr>
                  </w:pPr>
                  <w:r>
                    <w:rPr>
                      <w:rFonts w:hint="eastAsia"/>
                      <w:color w:val="auto"/>
                      <w:sz w:val="21"/>
                      <w:szCs w:val="21"/>
                    </w:rPr>
                    <w:t>东厂界</w:t>
                  </w:r>
                </w:p>
              </w:tc>
              <w:tc>
                <w:tcPr>
                  <w:tcW w:w="1068" w:type="pct"/>
                  <w:tcBorders>
                    <w:tl2br w:val="nil"/>
                    <w:tr2bl w:val="nil"/>
                  </w:tcBorders>
                  <w:noWrap w:val="0"/>
                  <w:vAlign w:val="center"/>
                </w:tcPr>
                <w:p w14:paraId="0103D17D">
                  <w:pPr>
                    <w:adjustRightInd w:val="0"/>
                    <w:jc w:val="center"/>
                    <w:rPr>
                      <w:rFonts w:hint="default"/>
                      <w:color w:val="auto"/>
                      <w:sz w:val="21"/>
                      <w:szCs w:val="21"/>
                      <w:highlight w:val="none"/>
                      <w:lang w:val="en-US" w:eastAsia="zh-CN"/>
                    </w:rPr>
                  </w:pPr>
                  <w:r>
                    <w:rPr>
                      <w:rFonts w:hint="eastAsia"/>
                      <w:color w:val="auto"/>
                      <w:sz w:val="21"/>
                      <w:szCs w:val="21"/>
                      <w:highlight w:val="none"/>
                      <w:lang w:val="en-US" w:eastAsia="zh-CN"/>
                    </w:rPr>
                    <w:t>23.2</w:t>
                  </w:r>
                </w:p>
              </w:tc>
              <w:tc>
                <w:tcPr>
                  <w:tcW w:w="622" w:type="pct"/>
                  <w:tcBorders>
                    <w:tl2br w:val="nil"/>
                    <w:tr2bl w:val="nil"/>
                  </w:tcBorders>
                  <w:noWrap w:val="0"/>
                  <w:vAlign w:val="center"/>
                </w:tcPr>
                <w:p w14:paraId="5C55CCC9">
                  <w:pPr>
                    <w:adjustRightInd w:val="0"/>
                    <w:jc w:val="center"/>
                    <w:rPr>
                      <w:rFonts w:hint="default" w:eastAsia="宋体"/>
                      <w:color w:val="auto"/>
                      <w:sz w:val="21"/>
                      <w:szCs w:val="21"/>
                      <w:lang w:val="en-US" w:eastAsia="zh-CN"/>
                    </w:rPr>
                  </w:pPr>
                  <w:r>
                    <w:rPr>
                      <w:rFonts w:hint="eastAsia"/>
                      <w:color w:val="auto"/>
                      <w:sz w:val="21"/>
                      <w:szCs w:val="21"/>
                      <w:lang w:val="en-US" w:eastAsia="zh-CN"/>
                    </w:rPr>
                    <w:t>65</w:t>
                  </w:r>
                </w:p>
              </w:tc>
              <w:tc>
                <w:tcPr>
                  <w:tcW w:w="593" w:type="pct"/>
                  <w:tcBorders>
                    <w:tl2br w:val="nil"/>
                    <w:tr2bl w:val="nil"/>
                  </w:tcBorders>
                  <w:noWrap w:val="0"/>
                  <w:vAlign w:val="center"/>
                </w:tcPr>
                <w:p w14:paraId="783D8139">
                  <w:pPr>
                    <w:adjustRightInd w:val="0"/>
                    <w:jc w:val="center"/>
                    <w:rPr>
                      <w:rFonts w:hint="default" w:eastAsia="宋体"/>
                      <w:color w:val="auto"/>
                      <w:sz w:val="21"/>
                      <w:szCs w:val="21"/>
                      <w:lang w:val="en-US" w:eastAsia="zh-CN"/>
                    </w:rPr>
                  </w:pPr>
                  <w:r>
                    <w:rPr>
                      <w:rFonts w:hint="eastAsia"/>
                      <w:color w:val="auto"/>
                      <w:sz w:val="21"/>
                      <w:szCs w:val="21"/>
                      <w:lang w:val="en-US" w:eastAsia="zh-CN"/>
                    </w:rPr>
                    <w:t>55</w:t>
                  </w:r>
                </w:p>
              </w:tc>
              <w:tc>
                <w:tcPr>
                  <w:tcW w:w="685" w:type="pct"/>
                  <w:tcBorders>
                    <w:tl2br w:val="nil"/>
                    <w:tr2bl w:val="nil"/>
                  </w:tcBorders>
                  <w:noWrap w:val="0"/>
                  <w:vAlign w:val="center"/>
                </w:tcPr>
                <w:p w14:paraId="78830440">
                  <w:pPr>
                    <w:adjustRightInd w:val="0"/>
                    <w:jc w:val="center"/>
                    <w:rPr>
                      <w:color w:val="auto"/>
                      <w:sz w:val="21"/>
                      <w:szCs w:val="21"/>
                    </w:rPr>
                  </w:pPr>
                  <w:r>
                    <w:rPr>
                      <w:rFonts w:hint="eastAsia"/>
                      <w:color w:val="auto"/>
                      <w:sz w:val="21"/>
                      <w:szCs w:val="21"/>
                    </w:rPr>
                    <w:t>是</w:t>
                  </w:r>
                </w:p>
              </w:tc>
              <w:tc>
                <w:tcPr>
                  <w:tcW w:w="690" w:type="pct"/>
                  <w:tcBorders>
                    <w:tl2br w:val="nil"/>
                    <w:tr2bl w:val="nil"/>
                  </w:tcBorders>
                  <w:noWrap w:val="0"/>
                  <w:vAlign w:val="center"/>
                </w:tcPr>
                <w:p w14:paraId="104678B4">
                  <w:pPr>
                    <w:adjustRightInd w:val="0"/>
                    <w:jc w:val="center"/>
                    <w:rPr>
                      <w:color w:val="auto"/>
                      <w:sz w:val="21"/>
                      <w:szCs w:val="21"/>
                    </w:rPr>
                  </w:pPr>
                  <w:r>
                    <w:rPr>
                      <w:rFonts w:hint="eastAsia"/>
                      <w:color w:val="auto"/>
                      <w:sz w:val="21"/>
                      <w:szCs w:val="21"/>
                    </w:rPr>
                    <w:t>是</w:t>
                  </w:r>
                </w:p>
              </w:tc>
            </w:tr>
            <w:tr w14:paraId="08A7E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4" w:type="pct"/>
                  <w:tcBorders>
                    <w:tl2br w:val="nil"/>
                    <w:tr2bl w:val="nil"/>
                  </w:tcBorders>
                  <w:noWrap w:val="0"/>
                  <w:vAlign w:val="center"/>
                </w:tcPr>
                <w:p w14:paraId="2E5E9E57">
                  <w:pPr>
                    <w:adjustRightInd w:val="0"/>
                    <w:jc w:val="center"/>
                    <w:rPr>
                      <w:color w:val="auto"/>
                      <w:sz w:val="21"/>
                      <w:szCs w:val="21"/>
                    </w:rPr>
                  </w:pPr>
                  <w:r>
                    <w:rPr>
                      <w:color w:val="auto"/>
                      <w:sz w:val="21"/>
                      <w:szCs w:val="21"/>
                    </w:rPr>
                    <w:t>2</w:t>
                  </w:r>
                </w:p>
              </w:tc>
              <w:tc>
                <w:tcPr>
                  <w:tcW w:w="925" w:type="pct"/>
                  <w:tcBorders>
                    <w:tl2br w:val="nil"/>
                    <w:tr2bl w:val="nil"/>
                  </w:tcBorders>
                  <w:noWrap w:val="0"/>
                  <w:vAlign w:val="center"/>
                </w:tcPr>
                <w:p w14:paraId="4AF2661A">
                  <w:pPr>
                    <w:adjustRightInd w:val="0"/>
                    <w:jc w:val="center"/>
                    <w:rPr>
                      <w:color w:val="auto"/>
                      <w:sz w:val="21"/>
                      <w:szCs w:val="21"/>
                    </w:rPr>
                  </w:pPr>
                  <w:r>
                    <w:rPr>
                      <w:rFonts w:hint="eastAsia"/>
                      <w:color w:val="auto"/>
                      <w:sz w:val="21"/>
                      <w:szCs w:val="21"/>
                    </w:rPr>
                    <w:t>南厂界</w:t>
                  </w:r>
                </w:p>
              </w:tc>
              <w:tc>
                <w:tcPr>
                  <w:tcW w:w="1068" w:type="pct"/>
                  <w:tcBorders>
                    <w:tl2br w:val="nil"/>
                    <w:tr2bl w:val="nil"/>
                  </w:tcBorders>
                  <w:noWrap w:val="0"/>
                  <w:vAlign w:val="center"/>
                </w:tcPr>
                <w:p w14:paraId="48485D26">
                  <w:pPr>
                    <w:adjustRightInd w:val="0"/>
                    <w:jc w:val="center"/>
                    <w:rPr>
                      <w:rFonts w:hint="default"/>
                      <w:color w:val="auto"/>
                      <w:sz w:val="21"/>
                      <w:szCs w:val="21"/>
                      <w:highlight w:val="none"/>
                      <w:lang w:val="en-US" w:eastAsia="zh-CN"/>
                    </w:rPr>
                  </w:pPr>
                  <w:r>
                    <w:rPr>
                      <w:rFonts w:hint="eastAsia"/>
                      <w:color w:val="auto"/>
                      <w:sz w:val="21"/>
                      <w:szCs w:val="21"/>
                      <w:highlight w:val="none"/>
                      <w:lang w:val="en-US" w:eastAsia="zh-CN"/>
                    </w:rPr>
                    <w:t>51.6</w:t>
                  </w:r>
                </w:p>
              </w:tc>
              <w:tc>
                <w:tcPr>
                  <w:tcW w:w="622" w:type="pct"/>
                  <w:tcBorders>
                    <w:tl2br w:val="nil"/>
                    <w:tr2bl w:val="nil"/>
                  </w:tcBorders>
                  <w:noWrap w:val="0"/>
                  <w:vAlign w:val="center"/>
                </w:tcPr>
                <w:p w14:paraId="0778F2EA">
                  <w:pPr>
                    <w:adjustRightInd w:val="0"/>
                    <w:jc w:val="center"/>
                    <w:rPr>
                      <w:rFonts w:hint="default" w:eastAsia="宋体"/>
                      <w:color w:val="auto"/>
                      <w:kern w:val="2"/>
                      <w:sz w:val="21"/>
                      <w:szCs w:val="21"/>
                      <w:lang w:val="en-US" w:eastAsia="zh-CN" w:bidi="ar-SA"/>
                    </w:rPr>
                  </w:pPr>
                  <w:r>
                    <w:rPr>
                      <w:rFonts w:hint="eastAsia"/>
                      <w:color w:val="auto"/>
                      <w:sz w:val="21"/>
                      <w:szCs w:val="21"/>
                      <w:lang w:val="en-US" w:eastAsia="zh-CN"/>
                    </w:rPr>
                    <w:t>65</w:t>
                  </w:r>
                </w:p>
              </w:tc>
              <w:tc>
                <w:tcPr>
                  <w:tcW w:w="593" w:type="pct"/>
                  <w:tcBorders>
                    <w:tl2br w:val="nil"/>
                    <w:tr2bl w:val="nil"/>
                  </w:tcBorders>
                  <w:noWrap w:val="0"/>
                  <w:vAlign w:val="center"/>
                </w:tcPr>
                <w:p w14:paraId="2F1941A6">
                  <w:pPr>
                    <w:adjustRightInd w:val="0"/>
                    <w:jc w:val="center"/>
                    <w:rPr>
                      <w:rFonts w:hint="eastAsia" w:eastAsia="宋体"/>
                      <w:color w:val="auto"/>
                      <w:kern w:val="2"/>
                      <w:sz w:val="21"/>
                      <w:szCs w:val="21"/>
                      <w:lang w:val="en-US" w:eastAsia="zh-CN" w:bidi="ar-SA"/>
                    </w:rPr>
                  </w:pPr>
                  <w:r>
                    <w:rPr>
                      <w:color w:val="auto"/>
                      <w:sz w:val="21"/>
                      <w:szCs w:val="21"/>
                    </w:rPr>
                    <w:t>5</w:t>
                  </w:r>
                  <w:r>
                    <w:rPr>
                      <w:rFonts w:hint="eastAsia"/>
                      <w:color w:val="auto"/>
                      <w:sz w:val="21"/>
                      <w:szCs w:val="21"/>
                      <w:lang w:val="en-US" w:eastAsia="zh-CN"/>
                    </w:rPr>
                    <w:t>5</w:t>
                  </w:r>
                </w:p>
              </w:tc>
              <w:tc>
                <w:tcPr>
                  <w:tcW w:w="685" w:type="pct"/>
                  <w:tcBorders>
                    <w:tl2br w:val="nil"/>
                    <w:tr2bl w:val="nil"/>
                  </w:tcBorders>
                  <w:noWrap w:val="0"/>
                  <w:vAlign w:val="center"/>
                </w:tcPr>
                <w:p w14:paraId="266665FF">
                  <w:pPr>
                    <w:adjustRightInd w:val="0"/>
                    <w:jc w:val="center"/>
                    <w:rPr>
                      <w:color w:val="auto"/>
                      <w:sz w:val="21"/>
                      <w:szCs w:val="21"/>
                    </w:rPr>
                  </w:pPr>
                  <w:r>
                    <w:rPr>
                      <w:rFonts w:hint="eastAsia"/>
                      <w:color w:val="auto"/>
                      <w:sz w:val="21"/>
                      <w:szCs w:val="21"/>
                    </w:rPr>
                    <w:t>是</w:t>
                  </w:r>
                </w:p>
              </w:tc>
              <w:tc>
                <w:tcPr>
                  <w:tcW w:w="690" w:type="pct"/>
                  <w:tcBorders>
                    <w:tl2br w:val="nil"/>
                    <w:tr2bl w:val="nil"/>
                  </w:tcBorders>
                  <w:noWrap w:val="0"/>
                  <w:vAlign w:val="center"/>
                </w:tcPr>
                <w:p w14:paraId="6BE6EABA">
                  <w:pPr>
                    <w:adjustRightInd w:val="0"/>
                    <w:jc w:val="center"/>
                    <w:rPr>
                      <w:color w:val="auto"/>
                      <w:sz w:val="21"/>
                      <w:szCs w:val="21"/>
                    </w:rPr>
                  </w:pPr>
                  <w:r>
                    <w:rPr>
                      <w:rFonts w:hint="eastAsia"/>
                      <w:color w:val="auto"/>
                      <w:sz w:val="21"/>
                      <w:szCs w:val="21"/>
                    </w:rPr>
                    <w:t>是</w:t>
                  </w:r>
                </w:p>
              </w:tc>
            </w:tr>
            <w:tr w14:paraId="3C112B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4" w:type="pct"/>
                  <w:tcBorders>
                    <w:tl2br w:val="nil"/>
                    <w:tr2bl w:val="nil"/>
                  </w:tcBorders>
                  <w:noWrap w:val="0"/>
                  <w:vAlign w:val="center"/>
                </w:tcPr>
                <w:p w14:paraId="68D674F0">
                  <w:pPr>
                    <w:adjustRightInd w:val="0"/>
                    <w:jc w:val="center"/>
                    <w:rPr>
                      <w:color w:val="auto"/>
                      <w:sz w:val="21"/>
                      <w:szCs w:val="21"/>
                    </w:rPr>
                  </w:pPr>
                  <w:r>
                    <w:rPr>
                      <w:color w:val="auto"/>
                      <w:sz w:val="21"/>
                      <w:szCs w:val="21"/>
                    </w:rPr>
                    <w:t>3</w:t>
                  </w:r>
                </w:p>
              </w:tc>
              <w:tc>
                <w:tcPr>
                  <w:tcW w:w="925" w:type="pct"/>
                  <w:tcBorders>
                    <w:tl2br w:val="nil"/>
                    <w:tr2bl w:val="nil"/>
                  </w:tcBorders>
                  <w:noWrap w:val="0"/>
                  <w:vAlign w:val="center"/>
                </w:tcPr>
                <w:p w14:paraId="220A3496">
                  <w:pPr>
                    <w:adjustRightInd w:val="0"/>
                    <w:jc w:val="center"/>
                    <w:rPr>
                      <w:color w:val="auto"/>
                      <w:sz w:val="21"/>
                      <w:szCs w:val="21"/>
                    </w:rPr>
                  </w:pPr>
                  <w:r>
                    <w:rPr>
                      <w:rFonts w:hint="eastAsia"/>
                      <w:color w:val="auto"/>
                      <w:sz w:val="21"/>
                      <w:szCs w:val="21"/>
                    </w:rPr>
                    <w:t>西厂界</w:t>
                  </w:r>
                </w:p>
              </w:tc>
              <w:tc>
                <w:tcPr>
                  <w:tcW w:w="1068" w:type="pct"/>
                  <w:tcBorders>
                    <w:tl2br w:val="nil"/>
                    <w:tr2bl w:val="nil"/>
                  </w:tcBorders>
                  <w:noWrap w:val="0"/>
                  <w:vAlign w:val="center"/>
                </w:tcPr>
                <w:p w14:paraId="6628800D">
                  <w:pPr>
                    <w:adjustRightInd w:val="0"/>
                    <w:jc w:val="center"/>
                    <w:rPr>
                      <w:rFonts w:hint="default"/>
                      <w:color w:val="auto"/>
                      <w:sz w:val="21"/>
                      <w:szCs w:val="21"/>
                      <w:highlight w:val="none"/>
                      <w:lang w:val="en-US" w:eastAsia="zh-CN"/>
                    </w:rPr>
                  </w:pPr>
                  <w:r>
                    <w:rPr>
                      <w:rFonts w:hint="eastAsia"/>
                      <w:color w:val="auto"/>
                      <w:sz w:val="21"/>
                      <w:szCs w:val="21"/>
                      <w:highlight w:val="none"/>
                      <w:lang w:val="en-US" w:eastAsia="zh-CN"/>
                    </w:rPr>
                    <w:t>53.1</w:t>
                  </w:r>
                </w:p>
              </w:tc>
              <w:tc>
                <w:tcPr>
                  <w:tcW w:w="622" w:type="pct"/>
                  <w:tcBorders>
                    <w:tl2br w:val="nil"/>
                    <w:tr2bl w:val="nil"/>
                  </w:tcBorders>
                  <w:noWrap w:val="0"/>
                  <w:vAlign w:val="center"/>
                </w:tcPr>
                <w:p w14:paraId="02EB4AD4">
                  <w:pPr>
                    <w:adjustRightInd w:val="0"/>
                    <w:jc w:val="center"/>
                    <w:rPr>
                      <w:rFonts w:hint="default" w:eastAsia="宋体"/>
                      <w:color w:val="auto"/>
                      <w:kern w:val="2"/>
                      <w:sz w:val="21"/>
                      <w:szCs w:val="21"/>
                      <w:lang w:val="en-US" w:eastAsia="zh-CN" w:bidi="ar-SA"/>
                    </w:rPr>
                  </w:pPr>
                  <w:r>
                    <w:rPr>
                      <w:rFonts w:hint="eastAsia"/>
                      <w:color w:val="auto"/>
                      <w:sz w:val="21"/>
                      <w:szCs w:val="21"/>
                      <w:lang w:val="en-US" w:eastAsia="zh-CN"/>
                    </w:rPr>
                    <w:t>65</w:t>
                  </w:r>
                </w:p>
              </w:tc>
              <w:tc>
                <w:tcPr>
                  <w:tcW w:w="593" w:type="pct"/>
                  <w:tcBorders>
                    <w:tl2br w:val="nil"/>
                    <w:tr2bl w:val="nil"/>
                  </w:tcBorders>
                  <w:noWrap w:val="0"/>
                  <w:vAlign w:val="center"/>
                </w:tcPr>
                <w:p w14:paraId="5F7D862F">
                  <w:pPr>
                    <w:adjustRightInd w:val="0"/>
                    <w:jc w:val="center"/>
                    <w:rPr>
                      <w:rFonts w:hint="default" w:eastAsia="宋体"/>
                      <w:color w:val="auto"/>
                      <w:kern w:val="2"/>
                      <w:sz w:val="21"/>
                      <w:szCs w:val="21"/>
                      <w:lang w:val="en-US" w:eastAsia="zh-CN" w:bidi="ar-SA"/>
                    </w:rPr>
                  </w:pPr>
                  <w:r>
                    <w:rPr>
                      <w:rFonts w:hint="eastAsia"/>
                      <w:color w:val="auto"/>
                      <w:sz w:val="21"/>
                      <w:szCs w:val="21"/>
                      <w:lang w:val="en-US" w:eastAsia="zh-CN"/>
                    </w:rPr>
                    <w:t>55</w:t>
                  </w:r>
                </w:p>
              </w:tc>
              <w:tc>
                <w:tcPr>
                  <w:tcW w:w="685" w:type="pct"/>
                  <w:tcBorders>
                    <w:tl2br w:val="nil"/>
                    <w:tr2bl w:val="nil"/>
                  </w:tcBorders>
                  <w:noWrap w:val="0"/>
                  <w:vAlign w:val="center"/>
                </w:tcPr>
                <w:p w14:paraId="365251AF">
                  <w:pPr>
                    <w:adjustRightInd w:val="0"/>
                    <w:jc w:val="center"/>
                    <w:rPr>
                      <w:color w:val="auto"/>
                      <w:sz w:val="21"/>
                      <w:szCs w:val="21"/>
                    </w:rPr>
                  </w:pPr>
                  <w:r>
                    <w:rPr>
                      <w:rFonts w:hint="eastAsia"/>
                      <w:color w:val="auto"/>
                      <w:sz w:val="21"/>
                      <w:szCs w:val="21"/>
                    </w:rPr>
                    <w:t>是</w:t>
                  </w:r>
                </w:p>
              </w:tc>
              <w:tc>
                <w:tcPr>
                  <w:tcW w:w="690" w:type="pct"/>
                  <w:tcBorders>
                    <w:tl2br w:val="nil"/>
                    <w:tr2bl w:val="nil"/>
                  </w:tcBorders>
                  <w:noWrap w:val="0"/>
                  <w:vAlign w:val="center"/>
                </w:tcPr>
                <w:p w14:paraId="38904ABD">
                  <w:pPr>
                    <w:adjustRightInd w:val="0"/>
                    <w:jc w:val="center"/>
                    <w:rPr>
                      <w:color w:val="auto"/>
                      <w:sz w:val="21"/>
                      <w:szCs w:val="21"/>
                    </w:rPr>
                  </w:pPr>
                  <w:r>
                    <w:rPr>
                      <w:rFonts w:hint="eastAsia"/>
                      <w:color w:val="auto"/>
                      <w:sz w:val="21"/>
                      <w:szCs w:val="21"/>
                    </w:rPr>
                    <w:t>是</w:t>
                  </w:r>
                </w:p>
              </w:tc>
            </w:tr>
            <w:tr w14:paraId="4A3EBF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4" w:type="pct"/>
                  <w:tcBorders>
                    <w:tl2br w:val="nil"/>
                    <w:tr2bl w:val="nil"/>
                  </w:tcBorders>
                  <w:noWrap w:val="0"/>
                  <w:vAlign w:val="center"/>
                </w:tcPr>
                <w:p w14:paraId="1E596C4C">
                  <w:pPr>
                    <w:adjustRightInd w:val="0"/>
                    <w:jc w:val="center"/>
                    <w:rPr>
                      <w:color w:val="auto"/>
                      <w:sz w:val="21"/>
                      <w:szCs w:val="21"/>
                    </w:rPr>
                  </w:pPr>
                  <w:r>
                    <w:rPr>
                      <w:color w:val="auto"/>
                      <w:sz w:val="21"/>
                      <w:szCs w:val="21"/>
                    </w:rPr>
                    <w:t>4</w:t>
                  </w:r>
                </w:p>
              </w:tc>
              <w:tc>
                <w:tcPr>
                  <w:tcW w:w="925" w:type="pct"/>
                  <w:tcBorders>
                    <w:tl2br w:val="nil"/>
                    <w:tr2bl w:val="nil"/>
                  </w:tcBorders>
                  <w:noWrap w:val="0"/>
                  <w:vAlign w:val="center"/>
                </w:tcPr>
                <w:p w14:paraId="388F0FAE">
                  <w:pPr>
                    <w:adjustRightInd w:val="0"/>
                    <w:jc w:val="center"/>
                    <w:rPr>
                      <w:color w:val="auto"/>
                      <w:sz w:val="21"/>
                      <w:szCs w:val="21"/>
                    </w:rPr>
                  </w:pPr>
                  <w:r>
                    <w:rPr>
                      <w:rFonts w:hint="eastAsia"/>
                      <w:color w:val="auto"/>
                      <w:sz w:val="21"/>
                      <w:szCs w:val="21"/>
                    </w:rPr>
                    <w:t>北厂界</w:t>
                  </w:r>
                </w:p>
              </w:tc>
              <w:tc>
                <w:tcPr>
                  <w:tcW w:w="1068" w:type="pct"/>
                  <w:tcBorders>
                    <w:tl2br w:val="nil"/>
                    <w:tr2bl w:val="nil"/>
                  </w:tcBorders>
                  <w:noWrap w:val="0"/>
                  <w:vAlign w:val="center"/>
                </w:tcPr>
                <w:p w14:paraId="13DE1636">
                  <w:pPr>
                    <w:adjustRightInd w:val="0"/>
                    <w:jc w:val="center"/>
                    <w:rPr>
                      <w:rFonts w:hint="default"/>
                      <w:color w:val="auto"/>
                      <w:sz w:val="21"/>
                      <w:szCs w:val="21"/>
                      <w:highlight w:val="none"/>
                      <w:lang w:val="en-US" w:eastAsia="zh-CN"/>
                    </w:rPr>
                  </w:pPr>
                  <w:r>
                    <w:rPr>
                      <w:rFonts w:hint="eastAsia"/>
                      <w:color w:val="auto"/>
                      <w:sz w:val="21"/>
                      <w:szCs w:val="21"/>
                      <w:highlight w:val="none"/>
                      <w:lang w:val="en-US" w:eastAsia="zh-CN"/>
                    </w:rPr>
                    <w:t>50.4</w:t>
                  </w:r>
                </w:p>
              </w:tc>
              <w:tc>
                <w:tcPr>
                  <w:tcW w:w="622" w:type="pct"/>
                  <w:tcBorders>
                    <w:tl2br w:val="nil"/>
                    <w:tr2bl w:val="nil"/>
                  </w:tcBorders>
                  <w:noWrap w:val="0"/>
                  <w:vAlign w:val="center"/>
                </w:tcPr>
                <w:p w14:paraId="26E21C3F">
                  <w:pPr>
                    <w:adjustRightInd w:val="0"/>
                    <w:jc w:val="center"/>
                    <w:rPr>
                      <w:rFonts w:hint="default" w:eastAsia="宋体"/>
                      <w:color w:val="auto"/>
                      <w:kern w:val="2"/>
                      <w:sz w:val="21"/>
                      <w:szCs w:val="21"/>
                      <w:lang w:val="en-US" w:eastAsia="zh-CN" w:bidi="ar-SA"/>
                    </w:rPr>
                  </w:pPr>
                  <w:r>
                    <w:rPr>
                      <w:rFonts w:hint="eastAsia"/>
                      <w:color w:val="auto"/>
                      <w:sz w:val="21"/>
                      <w:szCs w:val="21"/>
                      <w:lang w:val="en-US" w:eastAsia="zh-CN"/>
                    </w:rPr>
                    <w:t>65</w:t>
                  </w:r>
                </w:p>
              </w:tc>
              <w:tc>
                <w:tcPr>
                  <w:tcW w:w="593" w:type="pct"/>
                  <w:tcBorders>
                    <w:tl2br w:val="nil"/>
                    <w:tr2bl w:val="nil"/>
                  </w:tcBorders>
                  <w:noWrap w:val="0"/>
                  <w:vAlign w:val="center"/>
                </w:tcPr>
                <w:p w14:paraId="570977C7">
                  <w:pPr>
                    <w:adjustRightInd w:val="0"/>
                    <w:jc w:val="center"/>
                    <w:rPr>
                      <w:rFonts w:hint="default" w:eastAsia="宋体"/>
                      <w:color w:val="auto"/>
                      <w:kern w:val="2"/>
                      <w:sz w:val="21"/>
                      <w:szCs w:val="21"/>
                      <w:lang w:val="en-US" w:eastAsia="zh-CN" w:bidi="ar-SA"/>
                    </w:rPr>
                  </w:pPr>
                  <w:r>
                    <w:rPr>
                      <w:rFonts w:hint="eastAsia"/>
                      <w:color w:val="auto"/>
                      <w:sz w:val="21"/>
                      <w:szCs w:val="21"/>
                      <w:lang w:val="en-US" w:eastAsia="zh-CN"/>
                    </w:rPr>
                    <w:t>55</w:t>
                  </w:r>
                </w:p>
              </w:tc>
              <w:tc>
                <w:tcPr>
                  <w:tcW w:w="685" w:type="pct"/>
                  <w:tcBorders>
                    <w:tl2br w:val="nil"/>
                    <w:tr2bl w:val="nil"/>
                  </w:tcBorders>
                  <w:noWrap w:val="0"/>
                  <w:vAlign w:val="center"/>
                </w:tcPr>
                <w:p w14:paraId="42AD3E78">
                  <w:pPr>
                    <w:adjustRightInd w:val="0"/>
                    <w:jc w:val="center"/>
                    <w:rPr>
                      <w:color w:val="auto"/>
                      <w:sz w:val="21"/>
                      <w:szCs w:val="21"/>
                    </w:rPr>
                  </w:pPr>
                  <w:r>
                    <w:rPr>
                      <w:rFonts w:hint="eastAsia"/>
                      <w:color w:val="auto"/>
                      <w:sz w:val="21"/>
                      <w:szCs w:val="21"/>
                    </w:rPr>
                    <w:t>是</w:t>
                  </w:r>
                </w:p>
              </w:tc>
              <w:tc>
                <w:tcPr>
                  <w:tcW w:w="690" w:type="pct"/>
                  <w:tcBorders>
                    <w:tl2br w:val="nil"/>
                    <w:tr2bl w:val="nil"/>
                  </w:tcBorders>
                  <w:noWrap w:val="0"/>
                  <w:vAlign w:val="center"/>
                </w:tcPr>
                <w:p w14:paraId="4D91FE41">
                  <w:pPr>
                    <w:adjustRightInd w:val="0"/>
                    <w:jc w:val="center"/>
                    <w:rPr>
                      <w:color w:val="auto"/>
                      <w:sz w:val="21"/>
                      <w:szCs w:val="21"/>
                    </w:rPr>
                  </w:pPr>
                  <w:r>
                    <w:rPr>
                      <w:rFonts w:hint="eastAsia"/>
                      <w:color w:val="auto"/>
                      <w:sz w:val="21"/>
                      <w:szCs w:val="21"/>
                    </w:rPr>
                    <w:t>是</w:t>
                  </w:r>
                </w:p>
              </w:tc>
            </w:tr>
          </w:tbl>
          <w:p w14:paraId="6E208D9A">
            <w:pPr>
              <w:spacing w:line="36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8</w:t>
            </w:r>
            <w:r>
              <w:rPr>
                <w:rFonts w:hint="eastAsia" w:ascii="Times New Roman" w:hAnsi="Times New Roman" w:eastAsia="宋体" w:cs="Times New Roman"/>
                <w:b/>
                <w:color w:val="auto"/>
                <w:sz w:val="21"/>
                <w:szCs w:val="21"/>
                <w:lang w:val="en-US" w:eastAsia="zh-CN"/>
              </w:rPr>
              <w:t xml:space="preserve">  </w:t>
            </w:r>
            <w:r>
              <w:rPr>
                <w:rFonts w:hint="eastAsia" w:cs="Times New Roman"/>
                <w:b/>
                <w:color w:val="auto"/>
                <w:sz w:val="21"/>
                <w:szCs w:val="21"/>
                <w:lang w:val="en-US" w:eastAsia="zh-CN"/>
              </w:rPr>
              <w:t>环境保护目标</w:t>
            </w:r>
            <w:r>
              <w:rPr>
                <w:rFonts w:hint="default" w:ascii="Times New Roman" w:hAnsi="Times New Roman" w:eastAsia="宋体" w:cs="Times New Roman"/>
                <w:b/>
                <w:color w:val="auto"/>
                <w:sz w:val="21"/>
                <w:szCs w:val="21"/>
              </w:rPr>
              <w:t>达标情况</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0"/>
              <w:gridCol w:w="999"/>
              <w:gridCol w:w="861"/>
              <w:gridCol w:w="856"/>
              <w:gridCol w:w="798"/>
              <w:gridCol w:w="771"/>
              <w:gridCol w:w="690"/>
              <w:gridCol w:w="719"/>
              <w:gridCol w:w="715"/>
            </w:tblGrid>
            <w:tr w14:paraId="7D9986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63" w:type="pct"/>
                  <w:vMerge w:val="restart"/>
                  <w:tcBorders>
                    <w:tl2br w:val="nil"/>
                    <w:tr2bl w:val="nil"/>
                  </w:tcBorders>
                  <w:noWrap w:val="0"/>
                  <w:vAlign w:val="center"/>
                </w:tcPr>
                <w:p w14:paraId="7CB0181C">
                  <w:pPr>
                    <w:adjustRightInd w:val="0"/>
                    <w:jc w:val="center"/>
                    <w:rPr>
                      <w:color w:val="auto"/>
                      <w:sz w:val="21"/>
                      <w:szCs w:val="21"/>
                    </w:rPr>
                  </w:pPr>
                  <w:r>
                    <w:rPr>
                      <w:rFonts w:hint="eastAsia"/>
                      <w:color w:val="auto"/>
                      <w:sz w:val="21"/>
                      <w:szCs w:val="21"/>
                    </w:rPr>
                    <w:t>序号</w:t>
                  </w:r>
                </w:p>
              </w:tc>
              <w:tc>
                <w:tcPr>
                  <w:tcW w:w="936" w:type="pct"/>
                  <w:vMerge w:val="restart"/>
                  <w:tcBorders>
                    <w:tl2br w:val="nil"/>
                    <w:tr2bl w:val="nil"/>
                  </w:tcBorders>
                  <w:noWrap w:val="0"/>
                  <w:vAlign w:val="center"/>
                </w:tcPr>
                <w:p w14:paraId="6829F50C">
                  <w:pPr>
                    <w:adjustRightInd w:val="0"/>
                    <w:jc w:val="center"/>
                    <w:rPr>
                      <w:rFonts w:hint="eastAsia" w:eastAsia="宋体"/>
                      <w:color w:val="auto"/>
                      <w:sz w:val="21"/>
                      <w:szCs w:val="21"/>
                      <w:lang w:eastAsia="zh-CN"/>
                    </w:rPr>
                  </w:pPr>
                  <w:r>
                    <w:rPr>
                      <w:rFonts w:hint="eastAsia"/>
                      <w:color w:val="auto"/>
                      <w:sz w:val="21"/>
                      <w:szCs w:val="21"/>
                      <w:lang w:eastAsia="zh-CN"/>
                    </w:rPr>
                    <w:t>点位</w:t>
                  </w:r>
                </w:p>
              </w:tc>
              <w:tc>
                <w:tcPr>
                  <w:tcW w:w="592" w:type="pct"/>
                  <w:vMerge w:val="restart"/>
                  <w:tcBorders>
                    <w:tl2br w:val="nil"/>
                    <w:tr2bl w:val="nil"/>
                  </w:tcBorders>
                  <w:noWrap w:val="0"/>
                  <w:vAlign w:val="center"/>
                </w:tcPr>
                <w:p w14:paraId="25252D53">
                  <w:pPr>
                    <w:adjustRightInd w:val="0"/>
                    <w:jc w:val="center"/>
                    <w:rPr>
                      <w:rFonts w:hint="default" w:eastAsia="宋体"/>
                      <w:color w:val="auto"/>
                      <w:sz w:val="21"/>
                      <w:szCs w:val="21"/>
                      <w:lang w:val="en-US" w:eastAsia="zh-CN"/>
                    </w:rPr>
                  </w:pPr>
                  <w:r>
                    <w:rPr>
                      <w:rFonts w:hint="eastAsia"/>
                      <w:color w:val="auto"/>
                      <w:sz w:val="21"/>
                      <w:szCs w:val="21"/>
                      <w:lang w:val="en-US" w:eastAsia="zh-CN"/>
                    </w:rPr>
                    <w:t>贡献值</w:t>
                  </w:r>
                </w:p>
              </w:tc>
              <w:tc>
                <w:tcPr>
                  <w:tcW w:w="1017" w:type="pct"/>
                  <w:gridSpan w:val="2"/>
                  <w:tcBorders>
                    <w:tl2br w:val="nil"/>
                    <w:tr2bl w:val="nil"/>
                  </w:tcBorders>
                  <w:noWrap w:val="0"/>
                  <w:vAlign w:val="center"/>
                </w:tcPr>
                <w:p w14:paraId="6D6E7675">
                  <w:pPr>
                    <w:adjustRightInd w:val="0"/>
                    <w:jc w:val="center"/>
                    <w:rPr>
                      <w:rFonts w:hint="eastAsia" w:eastAsia="宋体"/>
                      <w:color w:val="auto"/>
                      <w:sz w:val="21"/>
                      <w:szCs w:val="21"/>
                      <w:lang w:eastAsia="zh-CN"/>
                    </w:rPr>
                  </w:pPr>
                  <w:r>
                    <w:rPr>
                      <w:rFonts w:hint="eastAsia"/>
                      <w:color w:val="auto"/>
                      <w:sz w:val="21"/>
                      <w:szCs w:val="21"/>
                      <w:lang w:eastAsia="zh-CN"/>
                    </w:rPr>
                    <w:t>现状值</w:t>
                  </w:r>
                </w:p>
              </w:tc>
              <w:tc>
                <w:tcPr>
                  <w:tcW w:w="930" w:type="pct"/>
                  <w:gridSpan w:val="2"/>
                  <w:tcBorders>
                    <w:tl2br w:val="nil"/>
                    <w:tr2bl w:val="nil"/>
                  </w:tcBorders>
                  <w:noWrap w:val="0"/>
                  <w:vAlign w:val="center"/>
                </w:tcPr>
                <w:p w14:paraId="29CC974C">
                  <w:pPr>
                    <w:adjustRightInd w:val="0"/>
                    <w:jc w:val="center"/>
                    <w:rPr>
                      <w:rFonts w:hint="eastAsia" w:eastAsia="宋体"/>
                      <w:color w:val="auto"/>
                      <w:sz w:val="21"/>
                      <w:szCs w:val="21"/>
                      <w:lang w:eastAsia="zh-CN"/>
                    </w:rPr>
                  </w:pPr>
                  <w:r>
                    <w:rPr>
                      <w:rFonts w:hint="eastAsia"/>
                      <w:color w:val="auto"/>
                      <w:sz w:val="21"/>
                      <w:szCs w:val="21"/>
                      <w:lang w:eastAsia="zh-CN"/>
                    </w:rPr>
                    <w:t>预测值</w:t>
                  </w:r>
                </w:p>
              </w:tc>
              <w:tc>
                <w:tcPr>
                  <w:tcW w:w="835" w:type="pct"/>
                  <w:gridSpan w:val="2"/>
                  <w:tcBorders>
                    <w:tl2br w:val="nil"/>
                    <w:tr2bl w:val="nil"/>
                  </w:tcBorders>
                  <w:noWrap w:val="0"/>
                  <w:vAlign w:val="center"/>
                </w:tcPr>
                <w:p w14:paraId="4D81000F">
                  <w:pPr>
                    <w:adjustRightInd w:val="0"/>
                    <w:jc w:val="center"/>
                    <w:rPr>
                      <w:color w:val="auto"/>
                      <w:sz w:val="21"/>
                      <w:szCs w:val="21"/>
                    </w:rPr>
                  </w:pPr>
                  <w:r>
                    <w:rPr>
                      <w:rFonts w:hint="eastAsia"/>
                      <w:color w:val="auto"/>
                      <w:sz w:val="21"/>
                      <w:szCs w:val="21"/>
                    </w:rPr>
                    <w:t>标准值</w:t>
                  </w:r>
                </w:p>
              </w:tc>
              <w:tc>
                <w:tcPr>
                  <w:tcW w:w="423" w:type="pct"/>
                  <w:vMerge w:val="restart"/>
                  <w:tcBorders>
                    <w:tl2br w:val="nil"/>
                    <w:tr2bl w:val="nil"/>
                  </w:tcBorders>
                  <w:noWrap w:val="0"/>
                  <w:vAlign w:val="center"/>
                </w:tcPr>
                <w:p w14:paraId="73914CE7">
                  <w:pPr>
                    <w:adjustRightInd w:val="0"/>
                    <w:jc w:val="center"/>
                    <w:rPr>
                      <w:rFonts w:hint="eastAsia"/>
                      <w:color w:val="auto"/>
                      <w:sz w:val="21"/>
                      <w:szCs w:val="21"/>
                    </w:rPr>
                  </w:pPr>
                  <w:r>
                    <w:rPr>
                      <w:rFonts w:hint="eastAsia"/>
                      <w:color w:val="auto"/>
                      <w:sz w:val="21"/>
                      <w:szCs w:val="21"/>
                    </w:rPr>
                    <w:t>是否达标</w:t>
                  </w:r>
                </w:p>
                <w:p w14:paraId="50E3E8E9">
                  <w:pPr>
                    <w:adjustRightInd w:val="0"/>
                    <w:jc w:val="center"/>
                    <w:rPr>
                      <w:color w:val="auto"/>
                      <w:sz w:val="21"/>
                      <w:szCs w:val="21"/>
                    </w:rPr>
                  </w:pPr>
                </w:p>
              </w:tc>
            </w:tr>
            <w:tr w14:paraId="3A046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263" w:type="pct"/>
                  <w:vMerge w:val="continue"/>
                  <w:tcBorders>
                    <w:tl2br w:val="nil"/>
                    <w:tr2bl w:val="nil"/>
                  </w:tcBorders>
                  <w:noWrap w:val="0"/>
                  <w:vAlign w:val="center"/>
                </w:tcPr>
                <w:p w14:paraId="3685D55D">
                  <w:pPr>
                    <w:widowControl/>
                    <w:jc w:val="left"/>
                    <w:rPr>
                      <w:color w:val="auto"/>
                      <w:sz w:val="21"/>
                      <w:szCs w:val="21"/>
                    </w:rPr>
                  </w:pPr>
                </w:p>
              </w:tc>
              <w:tc>
                <w:tcPr>
                  <w:tcW w:w="936" w:type="pct"/>
                  <w:vMerge w:val="continue"/>
                  <w:tcBorders>
                    <w:tl2br w:val="nil"/>
                    <w:tr2bl w:val="nil"/>
                  </w:tcBorders>
                  <w:noWrap w:val="0"/>
                  <w:vAlign w:val="center"/>
                </w:tcPr>
                <w:p w14:paraId="7EC18C1C">
                  <w:pPr>
                    <w:widowControl/>
                    <w:jc w:val="left"/>
                    <w:rPr>
                      <w:color w:val="auto"/>
                      <w:sz w:val="21"/>
                      <w:szCs w:val="21"/>
                    </w:rPr>
                  </w:pPr>
                </w:p>
              </w:tc>
              <w:tc>
                <w:tcPr>
                  <w:tcW w:w="592" w:type="pct"/>
                  <w:vMerge w:val="continue"/>
                  <w:tcBorders>
                    <w:tl2br w:val="nil"/>
                    <w:tr2bl w:val="nil"/>
                  </w:tcBorders>
                  <w:noWrap w:val="0"/>
                  <w:vAlign w:val="center"/>
                </w:tcPr>
                <w:p w14:paraId="06C2BC26">
                  <w:pPr>
                    <w:adjustRightInd w:val="0"/>
                    <w:jc w:val="center"/>
                    <w:rPr>
                      <w:rFonts w:hint="eastAsia" w:ascii="Times New Roman" w:hAnsi="Times New Roman" w:eastAsia="宋体" w:cs="Times New Roman"/>
                      <w:color w:val="auto"/>
                      <w:kern w:val="2"/>
                      <w:sz w:val="21"/>
                      <w:szCs w:val="21"/>
                      <w:lang w:val="en-US" w:eastAsia="zh-CN" w:bidi="ar-SA"/>
                    </w:rPr>
                  </w:pPr>
                </w:p>
              </w:tc>
              <w:tc>
                <w:tcPr>
                  <w:tcW w:w="510" w:type="pct"/>
                  <w:tcBorders>
                    <w:tl2br w:val="nil"/>
                    <w:tr2bl w:val="nil"/>
                  </w:tcBorders>
                  <w:noWrap w:val="0"/>
                  <w:vAlign w:val="center"/>
                </w:tcPr>
                <w:p w14:paraId="257BA903">
                  <w:pPr>
                    <w:adjustRightInd w:val="0"/>
                    <w:jc w:val="center"/>
                    <w:rPr>
                      <w:rFonts w:hint="eastAsia"/>
                      <w:color w:val="auto"/>
                      <w:sz w:val="21"/>
                      <w:szCs w:val="21"/>
                    </w:rPr>
                  </w:pPr>
                  <w:r>
                    <w:rPr>
                      <w:rFonts w:hint="eastAsia"/>
                      <w:color w:val="auto"/>
                      <w:sz w:val="21"/>
                      <w:szCs w:val="21"/>
                    </w:rPr>
                    <w:t>昼间</w:t>
                  </w:r>
                </w:p>
              </w:tc>
              <w:tc>
                <w:tcPr>
                  <w:tcW w:w="507" w:type="pct"/>
                  <w:tcBorders>
                    <w:tl2br w:val="nil"/>
                    <w:tr2bl w:val="nil"/>
                  </w:tcBorders>
                  <w:noWrap w:val="0"/>
                  <w:vAlign w:val="center"/>
                </w:tcPr>
                <w:p w14:paraId="47F83068">
                  <w:pPr>
                    <w:adjustRightInd w:val="0"/>
                    <w:jc w:val="center"/>
                    <w:rPr>
                      <w:rFonts w:hint="eastAsia"/>
                      <w:color w:val="auto"/>
                      <w:sz w:val="21"/>
                      <w:szCs w:val="21"/>
                    </w:rPr>
                  </w:pPr>
                  <w:r>
                    <w:rPr>
                      <w:rFonts w:hint="eastAsia"/>
                      <w:color w:val="auto"/>
                      <w:sz w:val="21"/>
                      <w:szCs w:val="21"/>
                    </w:rPr>
                    <w:t>夜间</w:t>
                  </w:r>
                </w:p>
              </w:tc>
              <w:tc>
                <w:tcPr>
                  <w:tcW w:w="473" w:type="pct"/>
                  <w:tcBorders>
                    <w:tl2br w:val="nil"/>
                    <w:tr2bl w:val="nil"/>
                  </w:tcBorders>
                  <w:noWrap w:val="0"/>
                  <w:vAlign w:val="center"/>
                </w:tcPr>
                <w:p w14:paraId="065266D3">
                  <w:pPr>
                    <w:adjustRightInd w:val="0"/>
                    <w:jc w:val="center"/>
                    <w:rPr>
                      <w:rFonts w:hint="eastAsia"/>
                      <w:color w:val="auto"/>
                      <w:sz w:val="21"/>
                      <w:szCs w:val="21"/>
                    </w:rPr>
                  </w:pPr>
                  <w:r>
                    <w:rPr>
                      <w:rFonts w:hint="eastAsia"/>
                      <w:color w:val="auto"/>
                      <w:sz w:val="21"/>
                      <w:szCs w:val="21"/>
                    </w:rPr>
                    <w:t>昼间</w:t>
                  </w:r>
                </w:p>
              </w:tc>
              <w:tc>
                <w:tcPr>
                  <w:tcW w:w="457" w:type="pct"/>
                  <w:tcBorders>
                    <w:tl2br w:val="nil"/>
                    <w:tr2bl w:val="nil"/>
                  </w:tcBorders>
                  <w:noWrap w:val="0"/>
                  <w:vAlign w:val="center"/>
                </w:tcPr>
                <w:p w14:paraId="4CA7A2BE">
                  <w:pPr>
                    <w:adjustRightInd w:val="0"/>
                    <w:jc w:val="center"/>
                    <w:rPr>
                      <w:rFonts w:hint="eastAsia"/>
                      <w:color w:val="auto"/>
                      <w:sz w:val="21"/>
                      <w:szCs w:val="21"/>
                    </w:rPr>
                  </w:pPr>
                  <w:r>
                    <w:rPr>
                      <w:rFonts w:hint="eastAsia"/>
                      <w:color w:val="auto"/>
                      <w:sz w:val="21"/>
                      <w:szCs w:val="21"/>
                    </w:rPr>
                    <w:t>夜间</w:t>
                  </w:r>
                </w:p>
              </w:tc>
              <w:tc>
                <w:tcPr>
                  <w:tcW w:w="409" w:type="pct"/>
                  <w:tcBorders>
                    <w:tl2br w:val="nil"/>
                    <w:tr2bl w:val="nil"/>
                  </w:tcBorders>
                  <w:noWrap w:val="0"/>
                  <w:vAlign w:val="center"/>
                </w:tcPr>
                <w:p w14:paraId="094B7F32">
                  <w:pPr>
                    <w:adjustRightInd w:val="0"/>
                    <w:jc w:val="center"/>
                    <w:rPr>
                      <w:color w:val="auto"/>
                      <w:sz w:val="21"/>
                      <w:szCs w:val="21"/>
                    </w:rPr>
                  </w:pPr>
                  <w:r>
                    <w:rPr>
                      <w:rFonts w:hint="eastAsia"/>
                      <w:color w:val="auto"/>
                      <w:sz w:val="21"/>
                      <w:szCs w:val="21"/>
                    </w:rPr>
                    <w:t>昼间</w:t>
                  </w:r>
                </w:p>
              </w:tc>
              <w:tc>
                <w:tcPr>
                  <w:tcW w:w="426" w:type="pct"/>
                  <w:tcBorders>
                    <w:tl2br w:val="nil"/>
                    <w:tr2bl w:val="nil"/>
                  </w:tcBorders>
                  <w:noWrap w:val="0"/>
                  <w:vAlign w:val="center"/>
                </w:tcPr>
                <w:p w14:paraId="4602B13B">
                  <w:pPr>
                    <w:adjustRightInd w:val="0"/>
                    <w:jc w:val="center"/>
                    <w:rPr>
                      <w:color w:val="auto"/>
                      <w:sz w:val="21"/>
                      <w:szCs w:val="21"/>
                    </w:rPr>
                  </w:pPr>
                  <w:r>
                    <w:rPr>
                      <w:rFonts w:hint="eastAsia"/>
                      <w:color w:val="auto"/>
                      <w:sz w:val="21"/>
                      <w:szCs w:val="21"/>
                    </w:rPr>
                    <w:t>夜间</w:t>
                  </w:r>
                </w:p>
              </w:tc>
              <w:tc>
                <w:tcPr>
                  <w:tcW w:w="423" w:type="pct"/>
                  <w:vMerge w:val="continue"/>
                  <w:tcBorders>
                    <w:tl2br w:val="nil"/>
                    <w:tr2bl w:val="nil"/>
                  </w:tcBorders>
                  <w:noWrap w:val="0"/>
                  <w:vAlign w:val="center"/>
                </w:tcPr>
                <w:p w14:paraId="32CBC1BC">
                  <w:pPr>
                    <w:adjustRightInd w:val="0"/>
                    <w:jc w:val="center"/>
                    <w:rPr>
                      <w:color w:val="auto"/>
                      <w:sz w:val="21"/>
                      <w:szCs w:val="21"/>
                    </w:rPr>
                  </w:pPr>
                </w:p>
              </w:tc>
            </w:tr>
            <w:tr w14:paraId="24A0B8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63" w:type="pct"/>
                  <w:tcBorders>
                    <w:tl2br w:val="nil"/>
                    <w:tr2bl w:val="nil"/>
                  </w:tcBorders>
                  <w:noWrap w:val="0"/>
                  <w:vAlign w:val="center"/>
                </w:tcPr>
                <w:p w14:paraId="59A10C0C">
                  <w:pPr>
                    <w:adjustRightInd w:val="0"/>
                    <w:jc w:val="center"/>
                    <w:rPr>
                      <w:color w:val="auto"/>
                      <w:sz w:val="21"/>
                      <w:szCs w:val="21"/>
                    </w:rPr>
                  </w:pPr>
                  <w:r>
                    <w:rPr>
                      <w:color w:val="auto"/>
                      <w:sz w:val="21"/>
                      <w:szCs w:val="21"/>
                    </w:rPr>
                    <w:t>1</w:t>
                  </w:r>
                </w:p>
              </w:tc>
              <w:tc>
                <w:tcPr>
                  <w:tcW w:w="936" w:type="pct"/>
                  <w:tcBorders>
                    <w:tl2br w:val="nil"/>
                    <w:tr2bl w:val="nil"/>
                  </w:tcBorders>
                  <w:noWrap w:val="0"/>
                  <w:vAlign w:val="center"/>
                </w:tcPr>
                <w:p w14:paraId="53C8BFD2">
                  <w:pPr>
                    <w:adjustRightInd w:val="0"/>
                    <w:jc w:val="center"/>
                    <w:rPr>
                      <w:rFonts w:hint="default" w:eastAsia="宋体"/>
                      <w:color w:val="auto"/>
                      <w:sz w:val="21"/>
                      <w:szCs w:val="21"/>
                      <w:lang w:val="en-US" w:eastAsia="zh-CN"/>
                    </w:rPr>
                  </w:pPr>
                  <w:r>
                    <w:rPr>
                      <w:rFonts w:hint="eastAsia"/>
                      <w:color w:val="auto"/>
                      <w:sz w:val="21"/>
                      <w:szCs w:val="21"/>
                      <w:lang w:eastAsia="zh-CN"/>
                    </w:rPr>
                    <w:t>距厂界</w:t>
                  </w:r>
                  <w:r>
                    <w:rPr>
                      <w:rFonts w:hint="eastAsia"/>
                      <w:color w:val="auto"/>
                      <w:sz w:val="21"/>
                      <w:szCs w:val="21"/>
                      <w:lang w:val="en-US" w:eastAsia="zh-CN"/>
                    </w:rPr>
                    <w:t>39米处居民</w:t>
                  </w:r>
                </w:p>
              </w:tc>
              <w:tc>
                <w:tcPr>
                  <w:tcW w:w="592" w:type="pct"/>
                  <w:tcBorders>
                    <w:tl2br w:val="nil"/>
                    <w:tr2bl w:val="nil"/>
                  </w:tcBorders>
                  <w:noWrap w:val="0"/>
                  <w:vAlign w:val="center"/>
                </w:tcPr>
                <w:p w14:paraId="29D078A7">
                  <w:pPr>
                    <w:adjustRightInd w:val="0"/>
                    <w:jc w:val="center"/>
                    <w:rPr>
                      <w:rFonts w:hint="default"/>
                      <w:color w:val="auto"/>
                      <w:sz w:val="21"/>
                      <w:szCs w:val="21"/>
                      <w:highlight w:val="none"/>
                      <w:lang w:val="en-US" w:eastAsia="zh-CN"/>
                    </w:rPr>
                  </w:pPr>
                  <w:r>
                    <w:rPr>
                      <w:rFonts w:hint="eastAsia"/>
                      <w:color w:val="auto"/>
                      <w:sz w:val="21"/>
                      <w:szCs w:val="21"/>
                      <w:highlight w:val="none"/>
                      <w:lang w:val="en-US" w:eastAsia="zh-CN"/>
                    </w:rPr>
                    <w:t>40.9</w:t>
                  </w:r>
                </w:p>
              </w:tc>
              <w:tc>
                <w:tcPr>
                  <w:tcW w:w="510" w:type="pct"/>
                  <w:tcBorders>
                    <w:tl2br w:val="nil"/>
                    <w:tr2bl w:val="nil"/>
                  </w:tcBorders>
                  <w:noWrap w:val="0"/>
                  <w:vAlign w:val="center"/>
                </w:tcPr>
                <w:p w14:paraId="05A712C6">
                  <w:pPr>
                    <w:adjustRightInd w:val="0"/>
                    <w:jc w:val="center"/>
                    <w:rPr>
                      <w:rFonts w:hint="default"/>
                      <w:color w:val="auto"/>
                      <w:sz w:val="21"/>
                      <w:szCs w:val="21"/>
                      <w:lang w:val="en-US" w:eastAsia="zh-CN"/>
                    </w:rPr>
                  </w:pPr>
                  <w:r>
                    <w:rPr>
                      <w:rFonts w:hint="eastAsia"/>
                      <w:color w:val="auto"/>
                      <w:sz w:val="21"/>
                      <w:szCs w:val="21"/>
                      <w:lang w:val="en-US" w:eastAsia="zh-CN"/>
                    </w:rPr>
                    <w:t>52</w:t>
                  </w:r>
                </w:p>
              </w:tc>
              <w:tc>
                <w:tcPr>
                  <w:tcW w:w="507" w:type="pct"/>
                  <w:tcBorders>
                    <w:tl2br w:val="nil"/>
                    <w:tr2bl w:val="nil"/>
                  </w:tcBorders>
                  <w:noWrap w:val="0"/>
                  <w:vAlign w:val="center"/>
                </w:tcPr>
                <w:p w14:paraId="63293764">
                  <w:pPr>
                    <w:adjustRightInd w:val="0"/>
                    <w:jc w:val="center"/>
                    <w:rPr>
                      <w:rFonts w:hint="default"/>
                      <w:color w:val="auto"/>
                      <w:sz w:val="21"/>
                      <w:szCs w:val="21"/>
                      <w:lang w:val="en-US" w:eastAsia="zh-CN"/>
                    </w:rPr>
                  </w:pPr>
                  <w:r>
                    <w:rPr>
                      <w:rFonts w:hint="eastAsia"/>
                      <w:color w:val="auto"/>
                      <w:sz w:val="21"/>
                      <w:szCs w:val="21"/>
                      <w:lang w:val="en-US" w:eastAsia="zh-CN"/>
                    </w:rPr>
                    <w:t>41</w:t>
                  </w:r>
                </w:p>
              </w:tc>
              <w:tc>
                <w:tcPr>
                  <w:tcW w:w="473" w:type="pct"/>
                  <w:tcBorders>
                    <w:tl2br w:val="nil"/>
                    <w:tr2bl w:val="nil"/>
                  </w:tcBorders>
                  <w:noWrap w:val="0"/>
                  <w:vAlign w:val="center"/>
                </w:tcPr>
                <w:p w14:paraId="4F9DC141">
                  <w:pPr>
                    <w:adjustRightInd w:val="0"/>
                    <w:jc w:val="center"/>
                    <w:rPr>
                      <w:rFonts w:hint="default"/>
                      <w:color w:val="auto"/>
                      <w:sz w:val="21"/>
                      <w:szCs w:val="21"/>
                      <w:lang w:val="en-US" w:eastAsia="zh-CN"/>
                    </w:rPr>
                  </w:pPr>
                  <w:r>
                    <w:rPr>
                      <w:rFonts w:hint="eastAsia"/>
                      <w:color w:val="auto"/>
                      <w:sz w:val="21"/>
                      <w:szCs w:val="21"/>
                      <w:lang w:val="en-US" w:eastAsia="zh-CN"/>
                    </w:rPr>
                    <w:t>52.33</w:t>
                  </w:r>
                </w:p>
              </w:tc>
              <w:tc>
                <w:tcPr>
                  <w:tcW w:w="457" w:type="pct"/>
                  <w:tcBorders>
                    <w:tl2br w:val="nil"/>
                    <w:tr2bl w:val="nil"/>
                  </w:tcBorders>
                  <w:noWrap w:val="0"/>
                  <w:vAlign w:val="center"/>
                </w:tcPr>
                <w:p w14:paraId="32395F3D">
                  <w:pPr>
                    <w:adjustRightInd w:val="0"/>
                    <w:jc w:val="center"/>
                    <w:rPr>
                      <w:rFonts w:hint="default"/>
                      <w:color w:val="auto"/>
                      <w:sz w:val="21"/>
                      <w:szCs w:val="21"/>
                      <w:lang w:val="en-US" w:eastAsia="zh-CN"/>
                    </w:rPr>
                  </w:pPr>
                  <w:r>
                    <w:rPr>
                      <w:rFonts w:hint="eastAsia"/>
                      <w:color w:val="auto"/>
                      <w:sz w:val="21"/>
                      <w:szCs w:val="21"/>
                      <w:lang w:val="en-US" w:eastAsia="zh-CN"/>
                    </w:rPr>
                    <w:t>43.96</w:t>
                  </w:r>
                </w:p>
              </w:tc>
              <w:tc>
                <w:tcPr>
                  <w:tcW w:w="409" w:type="pct"/>
                  <w:tcBorders>
                    <w:tl2br w:val="nil"/>
                    <w:tr2bl w:val="nil"/>
                  </w:tcBorders>
                  <w:noWrap w:val="0"/>
                  <w:vAlign w:val="center"/>
                </w:tcPr>
                <w:p w14:paraId="2CD2635C">
                  <w:pPr>
                    <w:adjustRightInd w:val="0"/>
                    <w:jc w:val="center"/>
                    <w:rPr>
                      <w:rFonts w:hint="default"/>
                      <w:color w:val="auto"/>
                      <w:sz w:val="21"/>
                      <w:szCs w:val="21"/>
                      <w:lang w:val="en-US"/>
                    </w:rPr>
                  </w:pPr>
                  <w:r>
                    <w:rPr>
                      <w:rFonts w:hint="eastAsia"/>
                      <w:color w:val="auto"/>
                      <w:sz w:val="21"/>
                      <w:szCs w:val="21"/>
                      <w:lang w:val="en-US" w:eastAsia="zh-CN"/>
                    </w:rPr>
                    <w:t>65</w:t>
                  </w:r>
                </w:p>
              </w:tc>
              <w:tc>
                <w:tcPr>
                  <w:tcW w:w="426" w:type="pct"/>
                  <w:tcBorders>
                    <w:tl2br w:val="nil"/>
                    <w:tr2bl w:val="nil"/>
                  </w:tcBorders>
                  <w:noWrap w:val="0"/>
                  <w:vAlign w:val="center"/>
                </w:tcPr>
                <w:p w14:paraId="219B75F1">
                  <w:pPr>
                    <w:adjustRightInd w:val="0"/>
                    <w:jc w:val="center"/>
                    <w:rPr>
                      <w:rFonts w:hint="default"/>
                      <w:color w:val="auto"/>
                      <w:sz w:val="21"/>
                      <w:szCs w:val="21"/>
                      <w:lang w:val="en-US"/>
                    </w:rPr>
                  </w:pPr>
                  <w:r>
                    <w:rPr>
                      <w:rFonts w:hint="eastAsia"/>
                      <w:color w:val="auto"/>
                      <w:sz w:val="21"/>
                      <w:szCs w:val="21"/>
                      <w:lang w:val="en-US" w:eastAsia="zh-CN"/>
                    </w:rPr>
                    <w:t>55</w:t>
                  </w:r>
                </w:p>
              </w:tc>
              <w:tc>
                <w:tcPr>
                  <w:tcW w:w="423" w:type="pct"/>
                  <w:tcBorders>
                    <w:tl2br w:val="nil"/>
                    <w:tr2bl w:val="nil"/>
                  </w:tcBorders>
                  <w:noWrap w:val="0"/>
                  <w:vAlign w:val="center"/>
                </w:tcPr>
                <w:p w14:paraId="3E85B00A">
                  <w:pPr>
                    <w:adjustRightInd w:val="0"/>
                    <w:jc w:val="center"/>
                    <w:rPr>
                      <w:color w:val="auto"/>
                      <w:sz w:val="21"/>
                      <w:szCs w:val="21"/>
                    </w:rPr>
                  </w:pPr>
                  <w:r>
                    <w:rPr>
                      <w:rFonts w:hint="eastAsia"/>
                      <w:color w:val="auto"/>
                      <w:sz w:val="21"/>
                      <w:szCs w:val="21"/>
                    </w:rPr>
                    <w:t>是</w:t>
                  </w:r>
                </w:p>
              </w:tc>
            </w:tr>
          </w:tbl>
          <w:p w14:paraId="41BC0863">
            <w:pPr>
              <w:pStyle w:val="42"/>
              <w:keepNext w:val="0"/>
              <w:keepLines w:val="0"/>
              <w:pageBreakBefore w:val="0"/>
              <w:widowControl w:val="0"/>
              <w:kinsoku/>
              <w:wordWrap/>
              <w:overflowPunct/>
              <w:topLinePunct w:val="0"/>
              <w:autoSpaceDE/>
              <w:autoSpaceDN/>
              <w:bidi w:val="0"/>
              <w:adjustRightInd w:val="0"/>
              <w:snapToGrid w:val="0"/>
              <w:ind w:firstLine="42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由此</w:t>
            </w:r>
            <w:r>
              <w:rPr>
                <w:rFonts w:hint="eastAsia" w:cs="Times New Roman"/>
                <w:color w:val="auto"/>
                <w:sz w:val="24"/>
                <w:szCs w:val="24"/>
                <w:lang w:val="en-US" w:eastAsia="zh-CN"/>
              </w:rPr>
              <w:t>预测可知</w:t>
            </w:r>
            <w:r>
              <w:rPr>
                <w:rFonts w:hint="default" w:ascii="Times New Roman" w:hAnsi="Times New Roman" w:eastAsia="宋体" w:cs="Times New Roman"/>
                <w:color w:val="auto"/>
                <w:sz w:val="24"/>
                <w:szCs w:val="24"/>
                <w:lang w:val="en-US" w:eastAsia="zh-CN"/>
              </w:rPr>
              <w:t>，本项目运营期通过对高噪声设备采取相应的噪声控制措施，经过消声减振、建筑隔声及距离衰减后，本项目厂界噪声能够符合《工业企业厂界环境噪声排放标准》（GB12348-2008）</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类标准</w:t>
            </w:r>
            <w:r>
              <w:rPr>
                <w:rFonts w:hint="eastAsia" w:ascii="Times New Roman" w:hAnsi="Times New Roman" w:eastAsia="宋体" w:cs="Times New Roman"/>
                <w:color w:val="auto"/>
                <w:sz w:val="24"/>
                <w:szCs w:val="24"/>
                <w:lang w:val="en-US" w:eastAsia="zh-CN"/>
              </w:rPr>
              <w:t>，50米范围内居民</w:t>
            </w:r>
            <w:r>
              <w:rPr>
                <w:rFonts w:hint="eastAsia" w:cs="Times New Roman"/>
                <w:color w:val="auto"/>
                <w:sz w:val="24"/>
                <w:szCs w:val="24"/>
                <w:lang w:val="en-US" w:eastAsia="zh-CN"/>
              </w:rPr>
              <w:t>处</w:t>
            </w:r>
            <w:r>
              <w:rPr>
                <w:rFonts w:hint="eastAsia" w:ascii="Times New Roman" w:hAnsi="Times New Roman" w:eastAsia="宋体" w:cs="Times New Roman"/>
                <w:color w:val="auto"/>
                <w:sz w:val="24"/>
                <w:szCs w:val="24"/>
                <w:lang w:val="en-US" w:eastAsia="zh-CN"/>
              </w:rPr>
              <w:t>声环境满足《</w:t>
            </w:r>
            <w:r>
              <w:rPr>
                <w:rFonts w:hint="default" w:ascii="Times New Roman" w:hAnsi="Times New Roman" w:eastAsia="宋体" w:cs="Times New Roman"/>
                <w:color w:val="auto"/>
                <w:sz w:val="24"/>
                <w:szCs w:val="24"/>
                <w:lang w:val="en-US" w:eastAsia="zh-CN"/>
              </w:rPr>
              <w:t>声环境质量标准</w:t>
            </w:r>
            <w:r>
              <w:rPr>
                <w:rFonts w:hint="eastAsia" w:ascii="Times New Roman" w:hAnsi="Times New Roman" w:eastAsia="宋体" w:cs="Times New Roman"/>
                <w:color w:val="auto"/>
                <w:sz w:val="24"/>
                <w:szCs w:val="24"/>
                <w:lang w:val="en-US" w:eastAsia="zh-CN"/>
              </w:rPr>
              <w:t>》（GB3096-2008）</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类标准</w:t>
            </w:r>
            <w:r>
              <w:rPr>
                <w:rFonts w:hint="eastAsia" w:cs="Times New Roman"/>
                <w:color w:val="auto"/>
                <w:sz w:val="24"/>
                <w:szCs w:val="24"/>
                <w:lang w:val="en-US" w:eastAsia="zh-CN"/>
              </w:rPr>
              <w:t>要求</w:t>
            </w:r>
            <w:r>
              <w:rPr>
                <w:rFonts w:hint="default" w:ascii="Times New Roman" w:hAnsi="Times New Roman" w:eastAsia="宋体" w:cs="Times New Roman"/>
                <w:color w:val="auto"/>
                <w:sz w:val="24"/>
                <w:szCs w:val="24"/>
                <w:lang w:val="en-US" w:eastAsia="zh-CN"/>
              </w:rPr>
              <w:t>。</w:t>
            </w:r>
          </w:p>
          <w:p w14:paraId="428941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（4）噪声监测要求</w:t>
            </w:r>
          </w:p>
          <w:p w14:paraId="7C05E559">
            <w:pPr>
              <w:pStyle w:val="42"/>
              <w:keepNext w:val="0"/>
              <w:keepLines w:val="0"/>
              <w:pageBreakBefore w:val="0"/>
              <w:widowControl w:val="0"/>
              <w:kinsoku/>
              <w:wordWrap/>
              <w:overflowPunct/>
              <w:topLinePunct w:val="0"/>
              <w:autoSpaceDE/>
              <w:autoSpaceDN/>
              <w:bidi w:val="0"/>
              <w:adjustRightInd w:val="0"/>
              <w:snapToGrid w:val="0"/>
              <w:ind w:firstLine="420"/>
              <w:jc w:val="left"/>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rPr>
              <w:t>参照《排污单位自行监测技术指南 总则》（HJ919</w:t>
            </w:r>
            <w:r>
              <w:rPr>
                <w:rFonts w:hint="eastAsia" w:cs="Times New Roman"/>
                <w:bCs/>
                <w:color w:val="auto"/>
                <w:sz w:val="24"/>
                <w:szCs w:val="24"/>
                <w:lang w:val="en-US" w:eastAsia="zh-CN"/>
              </w:rPr>
              <w:t>-</w:t>
            </w:r>
            <w:r>
              <w:rPr>
                <w:rFonts w:hint="default" w:ascii="Times New Roman" w:hAnsi="Times New Roman" w:eastAsia="宋体" w:cs="Times New Roman"/>
                <w:bCs/>
                <w:color w:val="auto"/>
                <w:sz w:val="24"/>
                <w:szCs w:val="24"/>
              </w:rPr>
              <w:t>2017）排污单位自行监测相关要求，</w:t>
            </w:r>
            <w:r>
              <w:rPr>
                <w:rFonts w:hint="default" w:ascii="Times New Roman" w:hAnsi="Times New Roman" w:eastAsia="宋体" w:cs="Times New Roman"/>
                <w:bCs/>
                <w:color w:val="auto"/>
                <w:sz w:val="24"/>
                <w:szCs w:val="24"/>
                <w:lang w:val="en-US" w:eastAsia="zh-CN"/>
              </w:rPr>
              <w:t>噪声</w:t>
            </w:r>
            <w:r>
              <w:rPr>
                <w:rFonts w:hint="eastAsia" w:cs="Times New Roman"/>
                <w:bCs/>
                <w:color w:val="auto"/>
                <w:sz w:val="24"/>
                <w:szCs w:val="24"/>
                <w:lang w:val="en-US" w:eastAsia="zh-CN"/>
              </w:rPr>
              <w:t>监测要求如下</w:t>
            </w:r>
            <w:r>
              <w:rPr>
                <w:rFonts w:hint="default" w:ascii="Times New Roman" w:hAnsi="Times New Roman" w:eastAsia="宋体" w:cs="Times New Roman"/>
                <w:bCs/>
                <w:color w:val="auto"/>
                <w:sz w:val="24"/>
                <w:szCs w:val="24"/>
                <w:lang w:val="en-US" w:eastAsia="zh-CN"/>
              </w:rPr>
              <w:t>。</w:t>
            </w:r>
          </w:p>
          <w:p w14:paraId="2F2D3BF4">
            <w:pPr>
              <w:pStyle w:val="42"/>
              <w:ind w:firstLine="420"/>
              <w:jc w:val="center"/>
              <w:rPr>
                <w:rFonts w:hint="eastAsia" w:cs="Times New Roman"/>
                <w:bCs/>
                <w:color w:val="auto"/>
                <w:sz w:val="21"/>
                <w:szCs w:val="21"/>
                <w:lang w:val="en-US" w:eastAsia="zh-CN"/>
              </w:rPr>
            </w:pPr>
            <w:r>
              <w:rPr>
                <w:rFonts w:hint="eastAsia" w:cs="Times New Roman"/>
                <w:b/>
                <w:bCs w:val="0"/>
                <w:color w:val="auto"/>
                <w:sz w:val="21"/>
                <w:szCs w:val="21"/>
                <w:lang w:val="en-US" w:eastAsia="zh-CN"/>
              </w:rPr>
              <w:t>表4-8  噪声监测要求</w:t>
            </w:r>
          </w:p>
          <w:tbl>
            <w:tblPr>
              <w:tblStyle w:val="20"/>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633"/>
              <w:gridCol w:w="2110"/>
              <w:gridCol w:w="2110"/>
            </w:tblGrid>
            <w:tr w14:paraId="6ACE6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7" w:type="pct"/>
                  <w:tcBorders>
                    <w:tl2br w:val="nil"/>
                    <w:tr2bl w:val="nil"/>
                  </w:tcBorders>
                  <w:noWrap w:val="0"/>
                  <w:vAlign w:val="center"/>
                </w:tcPr>
                <w:p w14:paraId="170113E0">
                  <w:pPr>
                    <w:pStyle w:val="42"/>
                    <w:ind w:left="0" w:leftChars="0" w:firstLine="0" w:firstLineChars="0"/>
                    <w:jc w:val="center"/>
                    <w:rPr>
                      <w:rFonts w:hint="default"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序号</w:t>
                  </w:r>
                </w:p>
              </w:tc>
              <w:tc>
                <w:tcPr>
                  <w:tcW w:w="1560" w:type="pct"/>
                  <w:tcBorders>
                    <w:tl2br w:val="nil"/>
                    <w:tr2bl w:val="nil"/>
                  </w:tcBorders>
                  <w:noWrap w:val="0"/>
                  <w:vAlign w:val="center"/>
                </w:tcPr>
                <w:p w14:paraId="4109CFDE">
                  <w:pPr>
                    <w:pStyle w:val="42"/>
                    <w:ind w:left="0" w:leftChars="0" w:firstLine="0" w:firstLineChars="0"/>
                    <w:jc w:val="center"/>
                    <w:rPr>
                      <w:rFonts w:hint="default"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监测点位</w:t>
                  </w:r>
                </w:p>
              </w:tc>
              <w:tc>
                <w:tcPr>
                  <w:tcW w:w="1250" w:type="pct"/>
                  <w:tcBorders>
                    <w:tl2br w:val="nil"/>
                    <w:tr2bl w:val="nil"/>
                  </w:tcBorders>
                  <w:noWrap w:val="0"/>
                  <w:vAlign w:val="center"/>
                </w:tcPr>
                <w:p w14:paraId="41D44312">
                  <w:pPr>
                    <w:pStyle w:val="42"/>
                    <w:ind w:left="0" w:leftChars="0" w:firstLine="0" w:firstLineChars="0"/>
                    <w:jc w:val="center"/>
                    <w:rPr>
                      <w:rFonts w:hint="default"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监测因子</w:t>
                  </w:r>
                </w:p>
              </w:tc>
              <w:tc>
                <w:tcPr>
                  <w:tcW w:w="1250" w:type="pct"/>
                  <w:tcBorders>
                    <w:tl2br w:val="nil"/>
                    <w:tr2bl w:val="nil"/>
                  </w:tcBorders>
                  <w:noWrap w:val="0"/>
                  <w:vAlign w:val="center"/>
                </w:tcPr>
                <w:p w14:paraId="2E497175">
                  <w:pPr>
                    <w:pStyle w:val="42"/>
                    <w:ind w:left="0" w:leftChars="0" w:firstLine="0" w:firstLineChars="0"/>
                    <w:jc w:val="center"/>
                    <w:rPr>
                      <w:rFonts w:hint="default" w:cs="Times New Roman"/>
                      <w:b/>
                      <w:bCs w:val="0"/>
                      <w:color w:val="auto"/>
                      <w:sz w:val="21"/>
                      <w:szCs w:val="21"/>
                      <w:vertAlign w:val="baseline"/>
                      <w:lang w:val="en-US" w:eastAsia="zh-CN"/>
                    </w:rPr>
                  </w:pPr>
                  <w:r>
                    <w:rPr>
                      <w:rFonts w:hint="eastAsia" w:cs="Times New Roman"/>
                      <w:b/>
                      <w:bCs w:val="0"/>
                      <w:color w:val="auto"/>
                      <w:sz w:val="21"/>
                      <w:szCs w:val="21"/>
                      <w:vertAlign w:val="baseline"/>
                      <w:lang w:val="en-US" w:eastAsia="zh-CN"/>
                    </w:rPr>
                    <w:t>监测频次</w:t>
                  </w:r>
                </w:p>
              </w:tc>
            </w:tr>
            <w:tr w14:paraId="59411E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7" w:type="pct"/>
                  <w:tcBorders>
                    <w:tl2br w:val="nil"/>
                    <w:tr2bl w:val="nil"/>
                  </w:tcBorders>
                  <w:noWrap w:val="0"/>
                  <w:vAlign w:val="center"/>
                </w:tcPr>
                <w:p w14:paraId="68F2DF31">
                  <w:pPr>
                    <w:pStyle w:val="42"/>
                    <w:ind w:left="0" w:leftChars="0" w:firstLine="0" w:firstLineChars="0"/>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1</w:t>
                  </w:r>
                </w:p>
              </w:tc>
              <w:tc>
                <w:tcPr>
                  <w:tcW w:w="1560" w:type="pct"/>
                  <w:tcBorders>
                    <w:tl2br w:val="nil"/>
                    <w:tr2bl w:val="nil"/>
                  </w:tcBorders>
                  <w:noWrap w:val="0"/>
                  <w:vAlign w:val="center"/>
                </w:tcPr>
                <w:p w14:paraId="6E5389C1">
                  <w:pPr>
                    <w:pStyle w:val="42"/>
                    <w:ind w:left="0" w:leftChars="0" w:firstLine="0" w:firstLineChars="0"/>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四周厂界</w:t>
                  </w:r>
                </w:p>
              </w:tc>
              <w:tc>
                <w:tcPr>
                  <w:tcW w:w="1250" w:type="pct"/>
                  <w:tcBorders>
                    <w:tl2br w:val="nil"/>
                    <w:tr2bl w:val="nil"/>
                  </w:tcBorders>
                  <w:noWrap w:val="0"/>
                  <w:vAlign w:val="center"/>
                </w:tcPr>
                <w:p w14:paraId="6596F874">
                  <w:pPr>
                    <w:pStyle w:val="42"/>
                    <w:ind w:left="0" w:leftChars="0" w:firstLine="0" w:firstLineChars="0"/>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dB（A）</w:t>
                  </w:r>
                </w:p>
              </w:tc>
              <w:tc>
                <w:tcPr>
                  <w:tcW w:w="1250" w:type="pct"/>
                  <w:tcBorders>
                    <w:tl2br w:val="nil"/>
                    <w:tr2bl w:val="nil"/>
                  </w:tcBorders>
                  <w:noWrap w:val="0"/>
                  <w:vAlign w:val="center"/>
                </w:tcPr>
                <w:p w14:paraId="4C42508F">
                  <w:pPr>
                    <w:pStyle w:val="42"/>
                    <w:ind w:left="0" w:leftChars="0" w:firstLine="0" w:firstLineChars="0"/>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1次/季度</w:t>
                  </w:r>
                </w:p>
              </w:tc>
            </w:tr>
            <w:tr w14:paraId="2909C3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37" w:type="pct"/>
                  <w:tcBorders>
                    <w:tl2br w:val="nil"/>
                    <w:tr2bl w:val="nil"/>
                  </w:tcBorders>
                  <w:noWrap w:val="0"/>
                  <w:vAlign w:val="center"/>
                </w:tcPr>
                <w:p w14:paraId="5DF18100">
                  <w:pPr>
                    <w:pStyle w:val="42"/>
                    <w:ind w:left="0" w:leftChars="0" w:firstLine="0" w:firstLineChars="0"/>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2</w:t>
                  </w:r>
                </w:p>
              </w:tc>
              <w:tc>
                <w:tcPr>
                  <w:tcW w:w="1560" w:type="pct"/>
                  <w:tcBorders>
                    <w:tl2br w:val="nil"/>
                    <w:tr2bl w:val="nil"/>
                  </w:tcBorders>
                  <w:noWrap w:val="0"/>
                  <w:vAlign w:val="center"/>
                </w:tcPr>
                <w:p w14:paraId="2CB0D26F">
                  <w:pPr>
                    <w:pStyle w:val="42"/>
                    <w:ind w:left="0" w:leftChars="0" w:firstLine="0" w:firstLineChars="0"/>
                    <w:jc w:val="center"/>
                    <w:rPr>
                      <w:rFonts w:hint="eastAsia" w:cs="Times New Roman"/>
                      <w:bCs/>
                      <w:color w:val="auto"/>
                      <w:sz w:val="21"/>
                      <w:szCs w:val="21"/>
                      <w:vertAlign w:val="baseline"/>
                      <w:lang w:val="en-US" w:eastAsia="zh-CN"/>
                    </w:rPr>
                  </w:pPr>
                  <w:r>
                    <w:rPr>
                      <w:rFonts w:hint="eastAsia"/>
                      <w:color w:val="auto"/>
                      <w:sz w:val="21"/>
                      <w:szCs w:val="21"/>
                      <w:lang w:eastAsia="zh-CN"/>
                    </w:rPr>
                    <w:t>距厂界</w:t>
                  </w:r>
                  <w:r>
                    <w:rPr>
                      <w:rFonts w:hint="eastAsia"/>
                      <w:color w:val="auto"/>
                      <w:sz w:val="21"/>
                      <w:szCs w:val="21"/>
                      <w:lang w:val="en-US" w:eastAsia="zh-CN"/>
                    </w:rPr>
                    <w:t>39米处居民</w:t>
                  </w:r>
                </w:p>
              </w:tc>
              <w:tc>
                <w:tcPr>
                  <w:tcW w:w="1250" w:type="pct"/>
                  <w:tcBorders>
                    <w:tl2br w:val="nil"/>
                    <w:tr2bl w:val="nil"/>
                  </w:tcBorders>
                  <w:noWrap w:val="0"/>
                  <w:vAlign w:val="center"/>
                </w:tcPr>
                <w:p w14:paraId="28A4A346">
                  <w:pPr>
                    <w:pStyle w:val="42"/>
                    <w:ind w:left="0" w:leftChars="0" w:firstLine="0" w:firstLineChars="0"/>
                    <w:jc w:val="center"/>
                    <w:rPr>
                      <w:rFonts w:hint="eastAsia"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dB（A）</w:t>
                  </w:r>
                </w:p>
              </w:tc>
              <w:tc>
                <w:tcPr>
                  <w:tcW w:w="1250" w:type="pct"/>
                  <w:tcBorders>
                    <w:tl2br w:val="nil"/>
                    <w:tr2bl w:val="nil"/>
                  </w:tcBorders>
                  <w:noWrap w:val="0"/>
                  <w:vAlign w:val="center"/>
                </w:tcPr>
                <w:p w14:paraId="3815A925">
                  <w:pPr>
                    <w:pStyle w:val="42"/>
                    <w:ind w:left="0" w:leftChars="0" w:firstLine="0" w:firstLineChars="0"/>
                    <w:jc w:val="center"/>
                    <w:rPr>
                      <w:rFonts w:hint="eastAsia"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1次/季度</w:t>
                  </w:r>
                </w:p>
              </w:tc>
            </w:tr>
          </w:tbl>
          <w:p w14:paraId="2C638D35">
            <w:pPr>
              <w:pageBreakBefore w:val="0"/>
              <w:widowControl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4、固体废物</w:t>
            </w:r>
          </w:p>
          <w:p w14:paraId="03E79B5E">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hAnsi="Times New Roman" w:eastAsia="宋体" w:cs="Times New Roman"/>
                <w:b w:val="0"/>
                <w:bCs/>
                <w:color w:val="auto"/>
                <w:kern w:val="2"/>
                <w:sz w:val="24"/>
                <w:szCs w:val="24"/>
                <w:highlight w:val="none"/>
                <w:lang w:val="en-US" w:eastAsia="zh-CN" w:bidi="ar-SA"/>
              </w:rPr>
              <w:t>项目固体废物主要为</w:t>
            </w:r>
            <w:r>
              <w:rPr>
                <w:rFonts w:hint="eastAsia" w:ascii="Times New Roman" w:cs="Times New Roman"/>
                <w:b w:val="0"/>
                <w:bCs/>
                <w:color w:val="auto"/>
                <w:kern w:val="2"/>
                <w:sz w:val="24"/>
                <w:szCs w:val="24"/>
                <w:highlight w:val="none"/>
                <w:lang w:val="en-US" w:eastAsia="zh-CN" w:bidi="ar-SA"/>
              </w:rPr>
              <w:t>切割</w:t>
            </w:r>
            <w:r>
              <w:rPr>
                <w:rFonts w:hint="eastAsia" w:ascii="Times New Roman" w:hAnsi="Times New Roman" w:eastAsia="宋体" w:cs="Times New Roman"/>
                <w:b w:val="0"/>
                <w:bCs/>
                <w:color w:val="auto"/>
                <w:kern w:val="2"/>
                <w:sz w:val="24"/>
                <w:szCs w:val="24"/>
                <w:highlight w:val="none"/>
                <w:lang w:val="en-US" w:eastAsia="zh-CN" w:bidi="ar-SA"/>
              </w:rPr>
              <w:t>过程中产生的玻璃边角料，玻璃渣（打磨玻璃渣和钢化过程中玻璃自爆产生的玻璃渣）、压滤渣、</w:t>
            </w:r>
            <w:r>
              <w:rPr>
                <w:rFonts w:hint="eastAsia" w:ascii="Times New Roman" w:cs="Times New Roman"/>
                <w:b w:val="0"/>
                <w:bCs/>
                <w:color w:val="auto"/>
                <w:kern w:val="2"/>
                <w:sz w:val="24"/>
                <w:szCs w:val="24"/>
                <w:highlight w:val="none"/>
                <w:lang w:val="en-US" w:eastAsia="zh-CN" w:bidi="ar-SA"/>
              </w:rPr>
              <w:t>废包装、</w:t>
            </w:r>
            <w:r>
              <w:rPr>
                <w:rFonts w:hint="eastAsia" w:ascii="Times New Roman" w:hAnsi="Times New Roman" w:eastAsia="宋体" w:cs="Times New Roman"/>
                <w:b w:val="0"/>
                <w:bCs/>
                <w:color w:val="auto"/>
                <w:kern w:val="2"/>
                <w:sz w:val="24"/>
                <w:szCs w:val="24"/>
                <w:highlight w:val="none"/>
                <w:lang w:val="en-US" w:eastAsia="zh-CN" w:bidi="ar-SA"/>
              </w:rPr>
              <w:t>铝条边角料、废胶桶、废活性炭、员工生活办公产生的生活垃圾。</w:t>
            </w:r>
          </w:p>
          <w:p w14:paraId="1A8C6D5C">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cs="Times New Roman"/>
                <w:b w:val="0"/>
                <w:bCs/>
                <w:color w:val="auto"/>
                <w:kern w:val="2"/>
                <w:sz w:val="24"/>
                <w:szCs w:val="24"/>
                <w:highlight w:val="none"/>
                <w:lang w:val="en-US" w:eastAsia="zh-CN" w:bidi="ar-SA"/>
              </w:rPr>
              <w:t>（1）</w:t>
            </w:r>
            <w:r>
              <w:rPr>
                <w:rFonts w:hint="default" w:ascii="Times New Roman" w:hAnsi="Times New Roman" w:eastAsia="宋体" w:cs="Times New Roman"/>
                <w:b w:val="0"/>
                <w:bCs/>
                <w:color w:val="auto"/>
                <w:kern w:val="2"/>
                <w:sz w:val="24"/>
                <w:szCs w:val="24"/>
                <w:highlight w:val="none"/>
                <w:lang w:val="en-US" w:eastAsia="zh-CN" w:bidi="ar-SA"/>
              </w:rPr>
              <w:t>生活垃圾</w:t>
            </w:r>
          </w:p>
          <w:p w14:paraId="7CE03A6F">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生活垃圾</w:t>
            </w:r>
            <w:r>
              <w:rPr>
                <w:rFonts w:hint="eastAsia" w:ascii="Times New Roman" w:hAnsi="Times New Roman" w:eastAsia="宋体" w:cs="Times New Roman"/>
                <w:b w:val="0"/>
                <w:bCs/>
                <w:color w:val="auto"/>
                <w:kern w:val="2"/>
                <w:sz w:val="24"/>
                <w:szCs w:val="24"/>
                <w:highlight w:val="none"/>
                <w:lang w:val="en-US" w:eastAsia="zh-CN" w:bidi="ar-SA"/>
              </w:rPr>
              <w:t>：</w:t>
            </w:r>
            <w:r>
              <w:rPr>
                <w:rFonts w:hint="default" w:ascii="Times New Roman" w:hAnsi="Times New Roman" w:eastAsia="宋体" w:cs="Times New Roman"/>
                <w:b w:val="0"/>
                <w:bCs/>
                <w:color w:val="auto"/>
                <w:kern w:val="2"/>
                <w:sz w:val="24"/>
                <w:szCs w:val="24"/>
                <w:highlight w:val="none"/>
                <w:lang w:val="en-US" w:eastAsia="zh-CN" w:bidi="ar-SA"/>
              </w:rPr>
              <w:t>生活垃圾产生量按照0.5kg/人·d计算，员工</w:t>
            </w:r>
            <w:r>
              <w:rPr>
                <w:rFonts w:hint="eastAsia" w:ascii="Times New Roman" w:cs="Times New Roman"/>
                <w:b w:val="0"/>
                <w:bCs/>
                <w:color w:val="auto"/>
                <w:kern w:val="2"/>
                <w:sz w:val="24"/>
                <w:szCs w:val="24"/>
                <w:highlight w:val="none"/>
                <w:lang w:val="en-US" w:eastAsia="zh-CN" w:bidi="ar-SA"/>
              </w:rPr>
              <w:t>15</w:t>
            </w:r>
            <w:r>
              <w:rPr>
                <w:rFonts w:hint="default" w:ascii="Times New Roman" w:hAnsi="Times New Roman" w:eastAsia="宋体" w:cs="Times New Roman"/>
                <w:b w:val="0"/>
                <w:bCs/>
                <w:color w:val="auto"/>
                <w:kern w:val="2"/>
                <w:sz w:val="24"/>
                <w:szCs w:val="24"/>
                <w:highlight w:val="none"/>
                <w:lang w:val="en-US" w:eastAsia="zh-CN" w:bidi="ar-SA"/>
              </w:rPr>
              <w:t>人，其产生量为</w:t>
            </w:r>
            <w:r>
              <w:rPr>
                <w:rFonts w:hint="eastAsia" w:ascii="Times New Roman" w:cs="Times New Roman"/>
                <w:b w:val="0"/>
                <w:bCs/>
                <w:color w:val="auto"/>
                <w:kern w:val="2"/>
                <w:sz w:val="24"/>
                <w:szCs w:val="24"/>
                <w:highlight w:val="none"/>
                <w:lang w:val="en-US" w:eastAsia="zh-CN" w:bidi="ar-SA"/>
              </w:rPr>
              <w:t>7.5</w:t>
            </w:r>
            <w:r>
              <w:rPr>
                <w:rFonts w:hint="default" w:ascii="Times New Roman" w:hAnsi="Times New Roman" w:eastAsia="宋体" w:cs="Times New Roman"/>
                <w:b w:val="0"/>
                <w:bCs/>
                <w:color w:val="auto"/>
                <w:kern w:val="2"/>
                <w:sz w:val="24"/>
                <w:szCs w:val="24"/>
                <w:highlight w:val="none"/>
                <w:lang w:val="en-US" w:eastAsia="zh-CN" w:bidi="ar-SA"/>
              </w:rPr>
              <w:t>kg/d，</w:t>
            </w:r>
            <w:r>
              <w:rPr>
                <w:rFonts w:hint="eastAsia" w:ascii="Times New Roman" w:cs="Times New Roman"/>
                <w:b w:val="0"/>
                <w:bCs/>
                <w:color w:val="auto"/>
                <w:kern w:val="2"/>
                <w:sz w:val="24"/>
                <w:szCs w:val="24"/>
                <w:highlight w:val="none"/>
                <w:lang w:val="en-US" w:eastAsia="zh-CN" w:bidi="ar-SA"/>
              </w:rPr>
              <w:t>2.25</w:t>
            </w:r>
            <w:r>
              <w:rPr>
                <w:rFonts w:hint="default" w:ascii="Times New Roman" w:hAnsi="Times New Roman" w:eastAsia="宋体" w:cs="Times New Roman"/>
                <w:b w:val="0"/>
                <w:bCs/>
                <w:color w:val="auto"/>
                <w:kern w:val="2"/>
                <w:sz w:val="24"/>
                <w:szCs w:val="24"/>
                <w:highlight w:val="none"/>
                <w:lang w:val="en-US" w:eastAsia="zh-CN" w:bidi="ar-SA"/>
              </w:rPr>
              <w:t>t/a，生活垃圾由环卫部门定期进行处理；</w:t>
            </w:r>
          </w:p>
          <w:p w14:paraId="35156259">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cs="Times New Roman"/>
                <w:b w:val="0"/>
                <w:bCs/>
                <w:color w:val="auto"/>
                <w:kern w:val="2"/>
                <w:sz w:val="24"/>
                <w:szCs w:val="24"/>
                <w:highlight w:val="none"/>
                <w:lang w:val="en-US" w:eastAsia="zh-CN" w:bidi="ar-SA"/>
              </w:rPr>
              <w:t>（2）</w:t>
            </w:r>
            <w:r>
              <w:rPr>
                <w:rFonts w:hint="eastAsia" w:ascii="Times New Roman" w:hAnsi="Times New Roman" w:eastAsia="宋体" w:cs="Times New Roman"/>
                <w:b w:val="0"/>
                <w:bCs/>
                <w:color w:val="auto"/>
                <w:kern w:val="2"/>
                <w:sz w:val="24"/>
                <w:szCs w:val="24"/>
                <w:highlight w:val="none"/>
                <w:lang w:val="en-US" w:eastAsia="zh-CN" w:bidi="ar-SA"/>
              </w:rPr>
              <w:t>一般工业固废</w:t>
            </w:r>
          </w:p>
          <w:p w14:paraId="5D154D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Times New Roman" w:hAnsi="Times New Roman" w:eastAsia="宋体" w:cs="Times New Roman"/>
                <w:color w:val="000000"/>
                <w:sz w:val="24"/>
                <w:szCs w:val="24"/>
                <w:lang w:eastAsia="zh-CN"/>
              </w:rPr>
            </w:pPr>
            <w:r>
              <w:rPr>
                <w:rFonts w:hint="default" w:ascii="Times New Roman" w:hAnsi="Times New Roman" w:cs="Times New Roman"/>
                <w:bCs/>
                <w:color w:val="000000"/>
                <w:sz w:val="24"/>
                <w:szCs w:val="24"/>
              </w:rPr>
              <w:t>①</w:t>
            </w:r>
            <w:r>
              <w:rPr>
                <w:rFonts w:hint="eastAsia" w:cs="Times New Roman"/>
                <w:bCs/>
                <w:color w:val="000000"/>
                <w:sz w:val="24"/>
                <w:szCs w:val="24"/>
                <w:lang w:eastAsia="zh-CN"/>
              </w:rPr>
              <w:t>玻璃</w:t>
            </w:r>
            <w:r>
              <w:rPr>
                <w:rFonts w:hint="eastAsia"/>
                <w:sz w:val="24"/>
                <w:lang w:eastAsia="zh-CN"/>
              </w:rPr>
              <w:t>边角料</w:t>
            </w:r>
          </w:p>
          <w:p w14:paraId="781C89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cs="Times New Roman"/>
                <w:color w:val="000000"/>
                <w:sz w:val="24"/>
                <w:szCs w:val="24"/>
                <w:lang w:val="en-US" w:eastAsia="zh-CN"/>
              </w:rPr>
            </w:pPr>
            <w:r>
              <w:rPr>
                <w:rFonts w:hint="eastAsia" w:cs="Times New Roman"/>
                <w:color w:val="000000"/>
                <w:sz w:val="24"/>
                <w:szCs w:val="24"/>
                <w:lang w:val="en-US" w:eastAsia="zh-CN"/>
              </w:rPr>
              <w:t>原片玻璃切割产生的玻璃边角料，边角料产生量为玻璃原片的2%，项目年玻璃原片使用量约为3200t/a，玻璃边角料产生量为64t/a，定期清理收集后暂存于一般固体废物暂存间，统一外售。</w:t>
            </w:r>
          </w:p>
          <w:p w14:paraId="345FCD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②</w:t>
            </w:r>
            <w:r>
              <w:rPr>
                <w:rFonts w:hint="eastAsia" w:ascii="Times New Roman" w:hAnsi="Times New Roman" w:cs="Times New Roman"/>
                <w:color w:val="000000"/>
                <w:sz w:val="24"/>
                <w:szCs w:val="24"/>
                <w:lang w:val="en-US" w:eastAsia="zh-CN"/>
              </w:rPr>
              <w:t>玻璃渣</w:t>
            </w:r>
          </w:p>
          <w:p w14:paraId="5FF4B7C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裁片后玻璃边缘不整齐需要进行打磨处理，打磨采用湿式打磨，打磨过程中使用水对打磨部位冲洗，起到冷却降尘的作用，打磨下来的大的玻璃渣通过设备筛网拦截留在筛网上方，小的粉尘随水流进入废水处理设施。打磨过程中产生的玻璃渣量约为玻璃原片的0.</w:t>
            </w:r>
            <w:r>
              <w:rPr>
                <w:rFonts w:hint="eastAsia" w:cs="Times New Roman"/>
                <w:color w:val="000000"/>
                <w:sz w:val="24"/>
                <w:szCs w:val="24"/>
                <w:lang w:val="en-US" w:eastAsia="zh-CN"/>
              </w:rPr>
              <w:t>3</w:t>
            </w:r>
            <w:r>
              <w:rPr>
                <w:rFonts w:hint="eastAsia" w:ascii="Times New Roman" w:hAnsi="Times New Roman" w:cs="Times New Roman"/>
                <w:color w:val="000000"/>
                <w:sz w:val="24"/>
                <w:szCs w:val="24"/>
                <w:lang w:val="en-US" w:eastAsia="zh-CN"/>
              </w:rPr>
              <w:t>%，产生量为</w:t>
            </w:r>
            <w:r>
              <w:rPr>
                <w:rFonts w:hint="eastAsia" w:cs="Times New Roman"/>
                <w:color w:val="000000"/>
                <w:sz w:val="24"/>
                <w:szCs w:val="24"/>
                <w:lang w:val="en-US" w:eastAsia="zh-CN"/>
              </w:rPr>
              <w:t>9.6</w:t>
            </w:r>
            <w:r>
              <w:rPr>
                <w:rFonts w:hint="eastAsia" w:ascii="Times New Roman" w:hAnsi="Times New Roman" w:cs="Times New Roman"/>
                <w:color w:val="000000"/>
                <w:sz w:val="24"/>
                <w:szCs w:val="24"/>
                <w:lang w:val="en-US" w:eastAsia="zh-CN"/>
              </w:rPr>
              <w:t>t/a；钢化过程中部分玻璃因受热不均会发生自爆，产生玻璃渣，自爆玻璃渣约占玻璃原片的0.</w:t>
            </w:r>
            <w:r>
              <w:rPr>
                <w:rFonts w:hint="eastAsia" w:cs="Times New Roman"/>
                <w:color w:val="000000"/>
                <w:sz w:val="24"/>
                <w:szCs w:val="24"/>
                <w:lang w:val="en-US" w:eastAsia="zh-CN"/>
              </w:rPr>
              <w:t>1</w:t>
            </w:r>
            <w:r>
              <w:rPr>
                <w:rFonts w:hint="eastAsia" w:ascii="Times New Roman" w:hAnsi="Times New Roman" w:cs="Times New Roman"/>
                <w:color w:val="000000"/>
                <w:sz w:val="24"/>
                <w:szCs w:val="24"/>
                <w:lang w:val="en-US" w:eastAsia="zh-CN"/>
              </w:rPr>
              <w:t>%，产生量为</w:t>
            </w:r>
            <w:r>
              <w:rPr>
                <w:rFonts w:hint="eastAsia" w:cs="Times New Roman"/>
                <w:color w:val="000000"/>
                <w:sz w:val="24"/>
                <w:szCs w:val="24"/>
                <w:lang w:val="en-US" w:eastAsia="zh-CN"/>
              </w:rPr>
              <w:t>3.2</w:t>
            </w:r>
            <w:r>
              <w:rPr>
                <w:rFonts w:hint="eastAsia" w:ascii="Times New Roman" w:hAnsi="Times New Roman" w:cs="Times New Roman"/>
                <w:color w:val="000000"/>
                <w:sz w:val="24"/>
                <w:szCs w:val="24"/>
                <w:lang w:val="en-US" w:eastAsia="zh-CN"/>
              </w:rPr>
              <w:t>t/a，则生产过程中玻璃渣总产生量为</w:t>
            </w:r>
            <w:r>
              <w:rPr>
                <w:rFonts w:hint="eastAsia" w:cs="Times New Roman"/>
                <w:color w:val="000000"/>
                <w:sz w:val="24"/>
                <w:szCs w:val="24"/>
                <w:lang w:val="en-US" w:eastAsia="zh-CN"/>
              </w:rPr>
              <w:t>12.8</w:t>
            </w:r>
            <w:r>
              <w:rPr>
                <w:rFonts w:hint="eastAsia" w:ascii="Times New Roman" w:hAnsi="Times New Roman" w:cs="Times New Roman"/>
                <w:color w:val="000000"/>
                <w:sz w:val="24"/>
                <w:szCs w:val="24"/>
                <w:lang w:val="en-US" w:eastAsia="zh-CN"/>
              </w:rPr>
              <w:t>t/a，定期清理收集后暂存于一般固体废物暂存间，统一外售。</w:t>
            </w:r>
          </w:p>
          <w:p w14:paraId="13705D2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③</w:t>
            </w:r>
            <w:r>
              <w:rPr>
                <w:rFonts w:hint="eastAsia" w:cs="Times New Roman"/>
                <w:color w:val="000000"/>
                <w:sz w:val="24"/>
                <w:szCs w:val="24"/>
                <w:lang w:val="en-US" w:eastAsia="zh-CN"/>
              </w:rPr>
              <w:t>滤</w:t>
            </w:r>
            <w:r>
              <w:rPr>
                <w:rFonts w:hint="default" w:ascii="Times New Roman" w:hAnsi="Times New Roman" w:cs="Times New Roman"/>
                <w:color w:val="000000"/>
                <w:sz w:val="24"/>
                <w:szCs w:val="24"/>
                <w:lang w:val="en-US" w:eastAsia="zh-CN"/>
              </w:rPr>
              <w:t>渣</w:t>
            </w:r>
          </w:p>
          <w:p w14:paraId="16689D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废水处理设施产生滤渣，滤渣产生量约为玻璃原片的0.</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%，产生量为</w:t>
            </w:r>
            <w:r>
              <w:rPr>
                <w:rFonts w:hint="eastAsia" w:ascii="Times New Roman" w:hAnsi="Times New Roman" w:cs="Times New Roman"/>
                <w:color w:val="000000"/>
                <w:sz w:val="24"/>
                <w:szCs w:val="24"/>
                <w:lang w:val="en-US" w:eastAsia="zh-CN"/>
              </w:rPr>
              <w:t>3.</w:t>
            </w:r>
            <w:r>
              <w:rPr>
                <w:rFonts w:hint="eastAsia" w:cs="Times New Roman"/>
                <w:color w:val="000000"/>
                <w:sz w:val="24"/>
                <w:szCs w:val="24"/>
                <w:lang w:val="en-US" w:eastAsia="zh-CN"/>
              </w:rPr>
              <w:t>2</w:t>
            </w:r>
            <w:r>
              <w:rPr>
                <w:rFonts w:hint="default" w:ascii="Times New Roman" w:hAnsi="Times New Roman" w:cs="Times New Roman"/>
                <w:color w:val="000000"/>
                <w:sz w:val="24"/>
                <w:szCs w:val="24"/>
                <w:lang w:val="en-US" w:eastAsia="zh-CN"/>
              </w:rPr>
              <w:t>t/a，定期清理收集后暂存于一般固体废物暂存间，统一外售。</w:t>
            </w:r>
          </w:p>
          <w:p w14:paraId="36A0FE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eastAsia="微软雅黑" w:cs="Times New Roman"/>
                <w:color w:val="000000"/>
                <w:sz w:val="24"/>
                <w:szCs w:val="24"/>
                <w:lang w:val="en-US" w:eastAsia="zh-CN"/>
              </w:rPr>
              <w:t>④</w:t>
            </w:r>
            <w:r>
              <w:rPr>
                <w:rFonts w:hint="default" w:ascii="Times New Roman" w:hAnsi="Times New Roman" w:cs="Times New Roman"/>
                <w:color w:val="000000"/>
                <w:sz w:val="24"/>
                <w:szCs w:val="24"/>
                <w:lang w:val="en-US" w:eastAsia="zh-CN"/>
              </w:rPr>
              <w:t>铝条边角料</w:t>
            </w:r>
          </w:p>
          <w:p w14:paraId="204D64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中空玻璃生产线加工过程中使用到铝条，在对铝条折弯制作铝框时会产生一定量废边角料，产生量约为</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lang w:val="en-US" w:eastAsia="zh-CN"/>
              </w:rPr>
              <w:t>t/a，定期清理收集后暂存于一般固体废物暂存间，统一外售。</w:t>
            </w:r>
          </w:p>
          <w:p w14:paraId="68499F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eastAsia" w:cs="Times New Roman"/>
                <w:color w:val="000000"/>
                <w:sz w:val="24"/>
                <w:szCs w:val="24"/>
                <w:lang w:val="en-US" w:eastAsia="zh-CN"/>
              </w:rPr>
            </w:pPr>
            <w:r>
              <w:rPr>
                <w:rFonts w:hint="eastAsia" w:ascii="Times New Roman" w:hAnsi="Times New Roman" w:cs="Times New Roman"/>
                <w:color w:val="000000"/>
                <w:sz w:val="24"/>
                <w:szCs w:val="24"/>
                <w:lang w:val="en-US" w:eastAsia="zh-CN"/>
              </w:rPr>
              <w:t>⑤</w:t>
            </w:r>
            <w:r>
              <w:rPr>
                <w:rFonts w:hint="eastAsia" w:cs="Times New Roman"/>
                <w:color w:val="000000"/>
                <w:sz w:val="24"/>
                <w:szCs w:val="24"/>
                <w:lang w:val="en-US" w:eastAsia="zh-CN"/>
              </w:rPr>
              <w:t>废包装</w:t>
            </w:r>
          </w:p>
          <w:p w14:paraId="2648FC3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right="0" w:firstLine="480" w:firstLineChars="200"/>
              <w:textAlignment w:val="auto"/>
              <w:rPr>
                <w:rFonts w:hint="default"/>
                <w:lang w:val="en-US" w:eastAsia="zh-CN"/>
              </w:rPr>
            </w:pPr>
            <w:r>
              <w:rPr>
                <w:rFonts w:hint="default" w:ascii="Times New Roman" w:hAnsi="Times New Roman" w:cs="Times New Roman"/>
                <w:color w:val="000000"/>
                <w:sz w:val="24"/>
                <w:szCs w:val="24"/>
                <w:lang w:val="en-US" w:eastAsia="zh-CN"/>
              </w:rPr>
              <w:t>中空玻璃生产线加工过程中</w:t>
            </w:r>
            <w:r>
              <w:rPr>
                <w:rFonts w:hint="eastAsia" w:ascii="Times New Roman" w:hAnsi="Times New Roman" w:cs="Times New Roman"/>
                <w:color w:val="000000"/>
                <w:sz w:val="24"/>
                <w:szCs w:val="24"/>
                <w:lang w:val="en-US" w:eastAsia="zh-CN"/>
              </w:rPr>
              <w:t>对中空玻璃灌装分子筛，会产生分子筛废包装，产生量约0.1</w:t>
            </w:r>
            <w:r>
              <w:rPr>
                <w:rFonts w:hint="default" w:ascii="Times New Roman" w:hAnsi="Times New Roman" w:cs="Times New Roman"/>
                <w:color w:val="000000"/>
                <w:sz w:val="24"/>
                <w:szCs w:val="24"/>
                <w:lang w:val="en-US" w:eastAsia="zh-CN"/>
              </w:rPr>
              <w:t>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定期清理收集后暂存于一般固体废物暂存间，统一外售。</w:t>
            </w:r>
          </w:p>
          <w:p w14:paraId="6D38CB4E">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default" w:ascii="Times New Roman" w:hAnsi="Times New Roman" w:eastAsia="宋体" w:cs="Times New Roman"/>
                <w:b w:val="0"/>
                <w:bCs/>
                <w:color w:val="auto"/>
                <w:kern w:val="2"/>
                <w:sz w:val="24"/>
                <w:szCs w:val="24"/>
                <w:highlight w:val="none"/>
                <w:lang w:val="en-US" w:eastAsia="zh-CN" w:bidi="ar-SA"/>
              </w:rPr>
            </w:pPr>
            <w:r>
              <w:rPr>
                <w:rFonts w:hint="eastAsia" w:ascii="Times New Roman" w:cs="Times New Roman"/>
                <w:b w:val="0"/>
                <w:bCs/>
                <w:color w:val="auto"/>
                <w:kern w:val="2"/>
                <w:sz w:val="24"/>
                <w:szCs w:val="24"/>
                <w:highlight w:val="none"/>
                <w:lang w:val="en-US" w:eastAsia="zh-CN" w:bidi="ar-SA"/>
              </w:rPr>
              <w:t>（3）</w:t>
            </w:r>
            <w:r>
              <w:rPr>
                <w:rFonts w:hint="eastAsia" w:ascii="Times New Roman" w:hAnsi="Times New Roman" w:eastAsia="宋体" w:cs="Times New Roman"/>
                <w:b w:val="0"/>
                <w:bCs/>
                <w:color w:val="auto"/>
                <w:kern w:val="2"/>
                <w:sz w:val="24"/>
                <w:szCs w:val="24"/>
                <w:highlight w:val="none"/>
                <w:lang w:val="en-US" w:eastAsia="zh-CN" w:bidi="ar-SA"/>
              </w:rPr>
              <w:t>危险废物</w:t>
            </w:r>
          </w:p>
          <w:p w14:paraId="4B5A0A41">
            <w:pPr>
              <w:pStyle w:val="1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①废胶桶</w:t>
            </w:r>
          </w:p>
          <w:p w14:paraId="1BA7D8A1">
            <w:pPr>
              <w:pStyle w:val="1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中空玻璃生产过程中使</w:t>
            </w:r>
            <w:r>
              <w:rPr>
                <w:rFonts w:hint="default" w:ascii="Times New Roman" w:hAnsi="Times New Roman" w:cs="Times New Roman"/>
                <w:sz w:val="24"/>
                <w:highlight w:val="none"/>
                <w:lang w:val="en-US" w:eastAsia="zh-CN"/>
              </w:rPr>
              <w:t>用到丁基胶和双组份硅酮密封胶，会产生一定量的废胶桶，</w:t>
            </w:r>
            <w:r>
              <w:rPr>
                <w:rFonts w:hint="eastAsia" w:cs="Times New Roman"/>
                <w:sz w:val="24"/>
                <w:highlight w:val="none"/>
                <w:lang w:val="en-US" w:eastAsia="zh-CN"/>
              </w:rPr>
              <w:t>项目年用胶量为43.2t/a，密封胶为桶装，每桶重150kg，则每年产生288只废胶桶，每只废胶桶重2.5kg，则每年废胶桶</w:t>
            </w:r>
            <w:r>
              <w:rPr>
                <w:rFonts w:hint="default" w:ascii="Times New Roman" w:hAnsi="Times New Roman" w:cs="Times New Roman"/>
                <w:sz w:val="24"/>
                <w:highlight w:val="none"/>
                <w:lang w:val="en-US" w:eastAsia="zh-CN"/>
              </w:rPr>
              <w:t>产生量</w:t>
            </w:r>
            <w:r>
              <w:rPr>
                <w:rFonts w:hint="eastAsia" w:cs="Times New Roman"/>
                <w:sz w:val="24"/>
                <w:highlight w:val="none"/>
                <w:lang w:val="en-US" w:eastAsia="zh-CN"/>
              </w:rPr>
              <w:t>0.72</w:t>
            </w:r>
            <w:r>
              <w:rPr>
                <w:rFonts w:hint="default" w:ascii="Times New Roman" w:hAnsi="Times New Roman" w:cs="Times New Roman"/>
                <w:sz w:val="24"/>
                <w:highlight w:val="none"/>
                <w:lang w:val="en-US" w:eastAsia="zh-CN"/>
              </w:rPr>
              <w:t>t/a。根据《国家危险废物名录》，废包装物属于危险废物，废物类别为HW49，废物代码</w:t>
            </w:r>
            <w:r>
              <w:rPr>
                <w:rFonts w:hint="default" w:ascii="Times New Roman" w:hAnsi="Times New Roman" w:cs="Times New Roman"/>
                <w:sz w:val="24"/>
                <w:lang w:val="en-US" w:eastAsia="zh-CN"/>
              </w:rPr>
              <w:t>为900-04</w:t>
            </w:r>
            <w:r>
              <w:rPr>
                <w:rFonts w:hint="eastAsia" w:cs="Times New Roman"/>
                <w:sz w:val="24"/>
                <w:lang w:val="en-US" w:eastAsia="zh-CN"/>
              </w:rPr>
              <w:t>1</w:t>
            </w:r>
            <w:r>
              <w:rPr>
                <w:rFonts w:hint="default" w:ascii="Times New Roman" w:hAnsi="Times New Roman" w:cs="Times New Roman"/>
                <w:sz w:val="24"/>
                <w:lang w:val="en-US" w:eastAsia="zh-CN"/>
              </w:rPr>
              <w:t>-49。为控制含有或直接沾染危险废物的包装物、容器在运输过程中可能发生的环境风险，应当按照危险废物的有关规定和要求对其贮存、运输等环节进行环境监管，统一收集后放置在危险废物暂存间中暂存，定期由有资质单位处理。</w:t>
            </w:r>
          </w:p>
          <w:p w14:paraId="4BCB0708">
            <w:pPr>
              <w:pStyle w:val="1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②废</w:t>
            </w:r>
            <w:r>
              <w:rPr>
                <w:rFonts w:hint="eastAsia" w:cs="Times New Roman"/>
                <w:sz w:val="24"/>
                <w:lang w:val="en-US" w:eastAsia="zh-CN"/>
              </w:rPr>
              <w:t>机油</w:t>
            </w:r>
          </w:p>
          <w:p w14:paraId="792769D6">
            <w:pPr>
              <w:pStyle w:val="10"/>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360" w:lineRule="auto"/>
              <w:ind w:left="0" w:leftChars="0" w:right="0" w:firstLine="480" w:firstLineChars="20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项目生产过程中使用的机械设备需要定期维护，更换</w:t>
            </w:r>
            <w:r>
              <w:rPr>
                <w:rFonts w:hint="eastAsia" w:cs="Times New Roman"/>
                <w:sz w:val="24"/>
                <w:lang w:val="en-US" w:eastAsia="zh-CN"/>
              </w:rPr>
              <w:t>机油</w:t>
            </w:r>
            <w:r>
              <w:rPr>
                <w:rFonts w:hint="default" w:ascii="Times New Roman" w:hAnsi="Times New Roman" w:cs="Times New Roman"/>
                <w:sz w:val="24"/>
                <w:lang w:val="en-US" w:eastAsia="zh-CN"/>
              </w:rPr>
              <w:t>，每年</w:t>
            </w:r>
            <w:r>
              <w:rPr>
                <w:rFonts w:hint="eastAsia" w:cs="Times New Roman"/>
                <w:sz w:val="24"/>
                <w:lang w:val="en-US" w:eastAsia="zh-CN"/>
              </w:rPr>
              <w:t>机油</w:t>
            </w:r>
            <w:r>
              <w:rPr>
                <w:rFonts w:hint="eastAsia" w:ascii="Times New Roman" w:hAnsi="Times New Roman" w:cs="Times New Roman"/>
                <w:sz w:val="24"/>
                <w:lang w:val="en-US" w:eastAsia="zh-CN"/>
              </w:rPr>
              <w:t>用量为</w:t>
            </w:r>
            <w:r>
              <w:rPr>
                <w:rFonts w:hint="eastAsia" w:cs="Times New Roman"/>
                <w:sz w:val="24"/>
                <w:lang w:val="en-US" w:eastAsia="zh-CN"/>
              </w:rPr>
              <w:t>0.2</w:t>
            </w:r>
            <w:r>
              <w:rPr>
                <w:rFonts w:hint="eastAsia" w:ascii="Times New Roman" w:hAnsi="Times New Roman" w:cs="Times New Roman"/>
                <w:sz w:val="24"/>
                <w:lang w:val="en-US" w:eastAsia="zh-CN"/>
              </w:rPr>
              <w:t>t，</w:t>
            </w:r>
            <w:r>
              <w:rPr>
                <w:rFonts w:hint="default" w:ascii="Times New Roman" w:hAnsi="Times New Roman" w:cs="Times New Roman"/>
                <w:sz w:val="24"/>
                <w:lang w:val="en-US" w:eastAsia="zh-CN"/>
              </w:rPr>
              <w:t>约产生的废</w:t>
            </w:r>
            <w:r>
              <w:rPr>
                <w:rFonts w:hint="eastAsia" w:cs="Times New Roman"/>
                <w:sz w:val="24"/>
                <w:lang w:val="en-US" w:eastAsia="zh-CN"/>
              </w:rPr>
              <w:t>机油</w:t>
            </w:r>
            <w:r>
              <w:rPr>
                <w:rFonts w:hint="default" w:ascii="Times New Roman" w:hAnsi="Times New Roman" w:cs="Times New Roman"/>
                <w:sz w:val="24"/>
                <w:lang w:val="en-US" w:eastAsia="zh-CN"/>
              </w:rPr>
              <w:t>量为</w:t>
            </w:r>
            <w:r>
              <w:rPr>
                <w:rFonts w:hint="eastAsia" w:cs="Times New Roman"/>
                <w:sz w:val="24"/>
                <w:lang w:val="en-US" w:eastAsia="zh-CN"/>
              </w:rPr>
              <w:t>0.1</w:t>
            </w:r>
            <w:r>
              <w:rPr>
                <w:rFonts w:hint="default" w:ascii="Times New Roman" w:hAnsi="Times New Roman" w:cs="Times New Roman"/>
                <w:sz w:val="24"/>
                <w:lang w:val="en-US" w:eastAsia="zh-CN"/>
              </w:rPr>
              <w:t>t，废</w:t>
            </w:r>
            <w:r>
              <w:rPr>
                <w:rFonts w:hint="eastAsia" w:cs="Times New Roman"/>
                <w:sz w:val="24"/>
                <w:lang w:val="en-US" w:eastAsia="zh-CN"/>
              </w:rPr>
              <w:t>机油</w:t>
            </w:r>
            <w:r>
              <w:rPr>
                <w:rFonts w:hint="default" w:ascii="Times New Roman" w:hAnsi="Times New Roman" w:cs="Times New Roman"/>
                <w:sz w:val="24"/>
                <w:lang w:val="en-US" w:eastAsia="zh-CN"/>
              </w:rPr>
              <w:t>属于危险废物，废物类别为HW08，危险废物代码为900-218-08，经统一收集后放置在危险废物暂存间中暂存，须按危险废物管理有关规定送至有危险废物资质的单位进行无害化处理。</w:t>
            </w:r>
          </w:p>
          <w:p w14:paraId="767C88E4">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2" w:firstLineChars="200"/>
              <w:textAlignment w:val="baseline"/>
              <w:rPr>
                <w:rFonts w:hint="default" w:ascii="Times New Roman" w:hAnsi="Times New Roman" w:eastAsia="宋体" w:cs="Times New Roman"/>
                <w:b w:val="0"/>
                <w:bCs/>
                <w:color w:val="auto"/>
                <w:kern w:val="2"/>
                <w:sz w:val="24"/>
                <w:szCs w:val="24"/>
                <w:lang w:val="zh-CN" w:eastAsia="zh-CN" w:bidi="ar-SA"/>
              </w:rPr>
            </w:pPr>
            <w:r>
              <w:rPr>
                <w:rFonts w:hint="default" w:ascii="Times New Roman" w:hAnsi="Times New Roman" w:cs="Times New Roman"/>
                <w:sz w:val="24"/>
                <w:lang w:val="en-US" w:eastAsia="zh-CN"/>
              </w:rPr>
              <w:t>③</w:t>
            </w:r>
            <w:r>
              <w:rPr>
                <w:rFonts w:hint="default" w:ascii="Times New Roman" w:hAnsi="Times New Roman" w:eastAsia="宋体" w:cs="Times New Roman"/>
                <w:b w:val="0"/>
                <w:bCs/>
                <w:color w:val="auto"/>
                <w:kern w:val="2"/>
                <w:sz w:val="24"/>
                <w:szCs w:val="24"/>
                <w:lang w:val="zh-CN" w:eastAsia="zh-CN" w:bidi="ar-SA"/>
              </w:rPr>
              <w:t>废活性炭</w:t>
            </w:r>
          </w:p>
          <w:p w14:paraId="5F84BEFE">
            <w:pPr>
              <w:pStyle w:val="28"/>
              <w:keepNext/>
              <w:keepLines/>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360" w:lineRule="auto"/>
              <w:ind w:firstLine="480" w:firstLineChars="200"/>
              <w:textAlignment w:val="baseline"/>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lang w:val="en-US" w:eastAsia="zh-CN"/>
              </w:rPr>
              <w:t>本项目对生产过程产生的有机废气采用“</w:t>
            </w:r>
            <w:r>
              <w:rPr>
                <w:rFonts w:hint="eastAsia" w:ascii="Times New Roman" w:hAnsi="Times New Roman" w:eastAsia="宋体" w:cs="Times New Roman"/>
                <w:b w:val="0"/>
                <w:bCs/>
                <w:color w:val="auto"/>
                <w:sz w:val="24"/>
                <w:szCs w:val="24"/>
                <w:lang w:val="en-US" w:eastAsia="zh-CN"/>
              </w:rPr>
              <w:t>二级</w:t>
            </w:r>
            <w:r>
              <w:rPr>
                <w:rFonts w:hint="default" w:ascii="Times New Roman" w:hAnsi="Times New Roman" w:eastAsia="宋体" w:cs="Times New Roman"/>
                <w:b w:val="0"/>
                <w:bCs/>
                <w:color w:val="auto"/>
                <w:sz w:val="24"/>
                <w:szCs w:val="24"/>
                <w:lang w:val="en-US" w:eastAsia="zh-CN"/>
              </w:rPr>
              <w:t>活性炭吸附”处理后排放，使用后的废活性炭为危险废物</w:t>
            </w:r>
            <w:r>
              <w:rPr>
                <w:rFonts w:hint="default" w:ascii="Times New Roman" w:hAnsi="Times New Roman" w:eastAsia="宋体" w:cs="Times New Roman"/>
                <w:b w:val="0"/>
                <w:bCs/>
                <w:color w:val="auto"/>
                <w:sz w:val="24"/>
                <w:szCs w:val="24"/>
              </w:rPr>
              <w:t>（HW49：900-0</w:t>
            </w:r>
            <w:r>
              <w:rPr>
                <w:rFonts w:hint="eastAsia" w:ascii="Times New Roman" w:cs="Times New Roman"/>
                <w:b w:val="0"/>
                <w:bCs/>
                <w:color w:val="auto"/>
                <w:sz w:val="24"/>
                <w:szCs w:val="24"/>
                <w:lang w:val="en-US" w:eastAsia="zh-CN"/>
              </w:rPr>
              <w:t>39</w:t>
            </w:r>
            <w:r>
              <w:rPr>
                <w:rFonts w:hint="default" w:ascii="Times New Roman" w:hAnsi="Times New Roman" w:eastAsia="宋体" w:cs="Times New Roman"/>
                <w:b w:val="0"/>
                <w:bCs/>
                <w:color w:val="auto"/>
                <w:sz w:val="24"/>
                <w:szCs w:val="24"/>
              </w:rPr>
              <w:t>-49）</w:t>
            </w:r>
            <w:r>
              <w:rPr>
                <w:rFonts w:hint="default" w:ascii="Times New Roman" w:hAnsi="Times New Roman" w:eastAsia="宋体" w:cs="Times New Roman"/>
                <w:b w:val="0"/>
                <w:bCs/>
                <w:color w:val="auto"/>
                <w:sz w:val="24"/>
                <w:szCs w:val="24"/>
                <w:lang w:eastAsia="zh-CN"/>
              </w:rPr>
              <w:t>，根据杨芬、刘品华《活性炭纤维在挥发性有机废气处理中应用》的试验结果表明，每公斤活性炭可吸附0.20~0.25kg的有机废气，为保障废气去除效率，预留部分余量，本环评按照每1kg活性炭可吸收挥发性有机物0.2kg核算。</w:t>
            </w:r>
            <w:r>
              <w:rPr>
                <w:rFonts w:hint="default" w:ascii="Times New Roman" w:hAnsi="Times New Roman" w:eastAsia="宋体" w:cs="Times New Roman"/>
                <w:b w:val="0"/>
                <w:bCs/>
                <w:color w:val="auto"/>
                <w:sz w:val="24"/>
                <w:szCs w:val="24"/>
                <w:lang w:val="en-US" w:eastAsia="zh-CN"/>
              </w:rPr>
              <w:t>根据大气</w:t>
            </w:r>
            <w:r>
              <w:rPr>
                <w:rFonts w:hint="default" w:ascii="Times New Roman" w:hAnsi="Times New Roman" w:eastAsia="宋体" w:cs="Times New Roman"/>
                <w:b w:val="0"/>
                <w:bCs/>
                <w:color w:val="auto"/>
                <w:sz w:val="24"/>
                <w:szCs w:val="24"/>
                <w:highlight w:val="none"/>
                <w:lang w:val="en-US" w:eastAsia="zh-CN"/>
              </w:rPr>
              <w:t>污染源强计算结果，本项目活性炭需吸附有机废气量为</w:t>
            </w:r>
            <w:r>
              <w:rPr>
                <w:rFonts w:hint="eastAsia" w:ascii="Times New Roman" w:cs="Times New Roman"/>
                <w:b w:val="0"/>
                <w:bCs/>
                <w:color w:val="auto"/>
                <w:sz w:val="24"/>
                <w:szCs w:val="24"/>
                <w:highlight w:val="none"/>
                <w:lang w:val="en-US" w:eastAsia="zh-CN"/>
              </w:rPr>
              <w:t>0.6846</w:t>
            </w:r>
            <w:r>
              <w:rPr>
                <w:rFonts w:hint="default" w:ascii="Times New Roman" w:hAnsi="Times New Roman" w:eastAsia="宋体" w:cs="Times New Roman"/>
                <w:b w:val="0"/>
                <w:bCs/>
                <w:color w:val="auto"/>
                <w:sz w:val="24"/>
                <w:szCs w:val="24"/>
                <w:highlight w:val="none"/>
                <w:lang w:val="en-US" w:eastAsia="zh-CN"/>
              </w:rPr>
              <w:t>t/a，则活性炭消耗量约为</w:t>
            </w:r>
            <w:r>
              <w:rPr>
                <w:rFonts w:hint="eastAsia" w:ascii="Times New Roman" w:cs="Times New Roman"/>
                <w:b w:val="0"/>
                <w:bCs/>
                <w:color w:val="auto"/>
                <w:sz w:val="24"/>
                <w:szCs w:val="24"/>
                <w:highlight w:val="none"/>
                <w:lang w:val="en-US" w:eastAsia="zh-CN"/>
              </w:rPr>
              <w:t>3.423</w:t>
            </w:r>
            <w:r>
              <w:rPr>
                <w:rFonts w:hint="default" w:ascii="Times New Roman" w:hAnsi="Times New Roman" w:eastAsia="宋体" w:cs="Times New Roman"/>
                <w:b w:val="0"/>
                <w:bCs/>
                <w:color w:val="auto"/>
                <w:sz w:val="24"/>
                <w:szCs w:val="24"/>
                <w:highlight w:val="none"/>
                <w:lang w:val="en-US" w:eastAsia="zh-CN"/>
              </w:rPr>
              <w:t>t/a。</w:t>
            </w:r>
          </w:p>
          <w:p w14:paraId="08092294">
            <w:pPr>
              <w:pStyle w:val="15"/>
              <w:pageBreakBefore w:val="0"/>
              <w:widowControl w:val="0"/>
              <w:kinsoku/>
              <w:wordWrap/>
              <w:overflowPunct/>
              <w:topLinePunct w:val="0"/>
              <w:bidi w:val="0"/>
              <w:adjustRightInd w:val="0"/>
              <w:snapToGrid w:val="0"/>
              <w:spacing w:after="0" w:line="360" w:lineRule="auto"/>
              <w:ind w:firstLine="480" w:firstLineChars="200"/>
              <w:jc w:val="left"/>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在活性炭装置设计上，活性炭装填量按照</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rPr>
              <w:t>t进行设计，本环评要求活性炭罐最长</w:t>
            </w:r>
            <w:r>
              <w:rPr>
                <w:rFonts w:hint="eastAsia" w:ascii="Times New Roman" w:hAnsi="Times New Roman" w:eastAsia="宋体" w:cs="Times New Roman"/>
                <w:color w:val="auto"/>
                <w:sz w:val="24"/>
                <w:szCs w:val="24"/>
                <w:highlight w:val="none"/>
                <w:lang w:val="en-US" w:eastAsia="zh-CN"/>
              </w:rPr>
              <w:t>每个季度</w:t>
            </w:r>
            <w:r>
              <w:rPr>
                <w:rFonts w:hint="default" w:ascii="Times New Roman" w:hAnsi="Times New Roman" w:eastAsia="宋体" w:cs="Times New Roman"/>
                <w:color w:val="auto"/>
                <w:sz w:val="24"/>
                <w:szCs w:val="24"/>
                <w:highlight w:val="none"/>
              </w:rPr>
              <w:t>更换一次活性炭，以保证有机废气吸附效果。则年产生废弃活性炭量=活性炭重量+废气重量=</w:t>
            </w:r>
            <w:r>
              <w:rPr>
                <w:rFonts w:hint="eastAsia"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rPr>
              <w:t>t/次×</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次/a+</w:t>
            </w:r>
            <w:r>
              <w:rPr>
                <w:rFonts w:hint="eastAsia" w:cs="Times New Roman"/>
                <w:color w:val="auto"/>
                <w:sz w:val="24"/>
                <w:szCs w:val="24"/>
                <w:highlight w:val="none"/>
                <w:lang w:val="en-US" w:eastAsia="zh-CN"/>
              </w:rPr>
              <w:t>0.685</w:t>
            </w:r>
            <w:r>
              <w:rPr>
                <w:rFonts w:hint="default" w:ascii="Times New Roman" w:hAnsi="Times New Roman" w:eastAsia="宋体" w:cs="Times New Roman"/>
                <w:color w:val="auto"/>
                <w:sz w:val="24"/>
                <w:szCs w:val="24"/>
                <w:highlight w:val="none"/>
              </w:rPr>
              <w:t>t/a=</w:t>
            </w:r>
            <w:r>
              <w:rPr>
                <w:rFonts w:hint="eastAsia" w:cs="Times New Roman"/>
                <w:color w:val="auto"/>
                <w:sz w:val="24"/>
                <w:szCs w:val="24"/>
                <w:highlight w:val="none"/>
                <w:lang w:val="en-US" w:eastAsia="zh-CN"/>
              </w:rPr>
              <w:t>4.29</w:t>
            </w:r>
            <w:r>
              <w:rPr>
                <w:rFonts w:hint="default" w:ascii="Times New Roman" w:hAnsi="Times New Roman" w:eastAsia="宋体" w:cs="Times New Roman"/>
                <w:color w:val="auto"/>
                <w:sz w:val="24"/>
                <w:szCs w:val="24"/>
                <w:highlight w:val="none"/>
              </w:rPr>
              <w:t>t/a。其属于危险废物，危废代码为900-0</w:t>
            </w:r>
            <w:r>
              <w:rPr>
                <w:rFonts w:hint="eastAsia" w:ascii="Times New Roman"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rPr>
              <w:t>-49，经统一收集后放置在危废暂存间中暂存，须按危险废物管理有关规定送至有危废资质的单位进行无害化处理</w:t>
            </w:r>
            <w:r>
              <w:rPr>
                <w:rFonts w:hint="eastAsia" w:ascii="Times New Roman" w:hAnsi="Times New Roman" w:cs="Times New Roman"/>
                <w:color w:val="auto"/>
                <w:sz w:val="24"/>
                <w:szCs w:val="24"/>
                <w:highlight w:val="none"/>
                <w:lang w:val="zh-CN" w:eastAsia="zh-CN"/>
              </w:rPr>
              <w:t>。</w:t>
            </w:r>
          </w:p>
          <w:p w14:paraId="45AEF0D7">
            <w:pPr>
              <w:snapToGrid w:val="0"/>
              <w:spacing w:line="360" w:lineRule="auto"/>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9</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固体废物产生情况表</w:t>
            </w:r>
          </w:p>
          <w:tbl>
            <w:tblPr>
              <w:tblStyle w:val="19"/>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87"/>
              <w:gridCol w:w="425"/>
              <w:gridCol w:w="665"/>
              <w:gridCol w:w="972"/>
              <w:gridCol w:w="980"/>
              <w:gridCol w:w="820"/>
              <w:gridCol w:w="400"/>
              <w:gridCol w:w="516"/>
              <w:gridCol w:w="582"/>
              <w:gridCol w:w="646"/>
              <w:gridCol w:w="653"/>
              <w:gridCol w:w="688"/>
              <w:gridCol w:w="794"/>
            </w:tblGrid>
            <w:tr w14:paraId="51759A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70" w:type="pct"/>
                  <w:tcBorders>
                    <w:tl2br w:val="nil"/>
                    <w:tr2bl w:val="nil"/>
                  </w:tcBorders>
                  <w:noWrap w:val="0"/>
                  <w:vAlign w:val="center"/>
                </w:tcPr>
                <w:p w14:paraId="65C9AC6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52" w:type="pct"/>
                  <w:tcBorders>
                    <w:tl2br w:val="nil"/>
                    <w:tr2bl w:val="nil"/>
                  </w:tcBorders>
                  <w:noWrap w:val="0"/>
                  <w:vAlign w:val="center"/>
                </w:tcPr>
                <w:p w14:paraId="7F47AFC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产生环节</w:t>
                  </w:r>
                </w:p>
              </w:tc>
              <w:tc>
                <w:tcPr>
                  <w:tcW w:w="394" w:type="pct"/>
                  <w:tcBorders>
                    <w:tl2br w:val="nil"/>
                    <w:tr2bl w:val="nil"/>
                  </w:tcBorders>
                  <w:noWrap w:val="0"/>
                  <w:vAlign w:val="center"/>
                </w:tcPr>
                <w:p w14:paraId="2921776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576" w:type="pct"/>
                  <w:tcBorders>
                    <w:tl2br w:val="nil"/>
                    <w:tr2bl w:val="nil"/>
                  </w:tcBorders>
                  <w:noWrap w:val="0"/>
                  <w:vAlign w:val="center"/>
                </w:tcPr>
                <w:p w14:paraId="2248002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属性</w:t>
                  </w:r>
                </w:p>
              </w:tc>
              <w:tc>
                <w:tcPr>
                  <w:tcW w:w="581" w:type="pct"/>
                  <w:tcBorders>
                    <w:tl2br w:val="nil"/>
                    <w:tr2bl w:val="nil"/>
                  </w:tcBorders>
                  <w:noWrap w:val="0"/>
                  <w:vAlign w:val="center"/>
                </w:tcPr>
                <w:p w14:paraId="4EC7738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编码</w:t>
                  </w:r>
                </w:p>
              </w:tc>
              <w:tc>
                <w:tcPr>
                  <w:tcW w:w="486" w:type="pct"/>
                  <w:tcBorders>
                    <w:tl2br w:val="nil"/>
                    <w:tr2bl w:val="nil"/>
                  </w:tcBorders>
                  <w:noWrap w:val="0"/>
                  <w:vAlign w:val="center"/>
                </w:tcPr>
                <w:p w14:paraId="2B82730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主要有毒有害物质名称</w:t>
                  </w:r>
                </w:p>
              </w:tc>
              <w:tc>
                <w:tcPr>
                  <w:tcW w:w="237" w:type="pct"/>
                  <w:tcBorders>
                    <w:tl2br w:val="nil"/>
                    <w:tr2bl w:val="nil"/>
                  </w:tcBorders>
                  <w:noWrap w:val="0"/>
                  <w:vAlign w:val="center"/>
                </w:tcPr>
                <w:p w14:paraId="012380A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物理性状</w:t>
                  </w:r>
                </w:p>
              </w:tc>
              <w:tc>
                <w:tcPr>
                  <w:tcW w:w="306" w:type="pct"/>
                  <w:tcBorders>
                    <w:tl2br w:val="nil"/>
                    <w:tr2bl w:val="nil"/>
                  </w:tcBorders>
                  <w:noWrap w:val="0"/>
                  <w:vAlign w:val="center"/>
                </w:tcPr>
                <w:p w14:paraId="27F128B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环境危险特性</w:t>
                  </w:r>
                </w:p>
              </w:tc>
              <w:tc>
                <w:tcPr>
                  <w:tcW w:w="345" w:type="pct"/>
                  <w:tcBorders>
                    <w:tl2br w:val="nil"/>
                    <w:tr2bl w:val="nil"/>
                  </w:tcBorders>
                  <w:noWrap w:val="0"/>
                  <w:vAlign w:val="center"/>
                </w:tcPr>
                <w:p w14:paraId="485DC05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年度产生量</w:t>
                  </w:r>
                </w:p>
              </w:tc>
              <w:tc>
                <w:tcPr>
                  <w:tcW w:w="383" w:type="pct"/>
                  <w:tcBorders>
                    <w:tl2br w:val="nil"/>
                    <w:tr2bl w:val="nil"/>
                  </w:tcBorders>
                  <w:noWrap w:val="0"/>
                  <w:vAlign w:val="center"/>
                </w:tcPr>
                <w:p w14:paraId="61D08DE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贮存方式</w:t>
                  </w:r>
                </w:p>
              </w:tc>
              <w:tc>
                <w:tcPr>
                  <w:tcW w:w="387" w:type="pct"/>
                  <w:tcBorders>
                    <w:tl2br w:val="nil"/>
                    <w:tr2bl w:val="nil"/>
                  </w:tcBorders>
                  <w:noWrap w:val="0"/>
                  <w:vAlign w:val="center"/>
                </w:tcPr>
                <w:p w14:paraId="6BA70D9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利用处置方式和去向</w:t>
                  </w:r>
                </w:p>
              </w:tc>
              <w:tc>
                <w:tcPr>
                  <w:tcW w:w="408" w:type="pct"/>
                  <w:tcBorders>
                    <w:tl2br w:val="nil"/>
                    <w:tr2bl w:val="nil"/>
                  </w:tcBorders>
                  <w:noWrap w:val="0"/>
                  <w:vAlign w:val="center"/>
                </w:tcPr>
                <w:p w14:paraId="54BC428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利用或处置量</w:t>
                  </w:r>
                </w:p>
              </w:tc>
              <w:tc>
                <w:tcPr>
                  <w:tcW w:w="471" w:type="pct"/>
                  <w:tcBorders>
                    <w:tl2br w:val="nil"/>
                    <w:tr2bl w:val="nil"/>
                  </w:tcBorders>
                  <w:noWrap w:val="0"/>
                  <w:vAlign w:val="center"/>
                </w:tcPr>
                <w:p w14:paraId="32DD3E5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环境管理要求</w:t>
                  </w:r>
                </w:p>
              </w:tc>
            </w:tr>
            <w:tr w14:paraId="045500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70" w:type="pct"/>
                  <w:tcBorders>
                    <w:tl2br w:val="nil"/>
                    <w:tr2bl w:val="nil"/>
                  </w:tcBorders>
                  <w:noWrap w:val="0"/>
                  <w:vAlign w:val="center"/>
                </w:tcPr>
                <w:p w14:paraId="4A2CA8F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52" w:type="pct"/>
                  <w:tcBorders>
                    <w:tl2br w:val="nil"/>
                    <w:tr2bl w:val="nil"/>
                  </w:tcBorders>
                  <w:noWrap w:val="0"/>
                  <w:vAlign w:val="center"/>
                </w:tcPr>
                <w:p w14:paraId="1F1F8D8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切割</w:t>
                  </w:r>
                </w:p>
              </w:tc>
              <w:tc>
                <w:tcPr>
                  <w:tcW w:w="394" w:type="pct"/>
                  <w:tcBorders>
                    <w:tl2br w:val="nil"/>
                    <w:tr2bl w:val="nil"/>
                  </w:tcBorders>
                  <w:noWrap w:val="0"/>
                  <w:vAlign w:val="center"/>
                </w:tcPr>
                <w:p w14:paraId="0734645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olor w:val="auto"/>
                      <w:sz w:val="21"/>
                      <w:szCs w:val="21"/>
                      <w:lang w:eastAsia="zh-CN"/>
                    </w:rPr>
                    <w:t>边角料</w:t>
                  </w:r>
                </w:p>
              </w:tc>
              <w:tc>
                <w:tcPr>
                  <w:tcW w:w="576" w:type="pct"/>
                  <w:tcBorders>
                    <w:tl2br w:val="nil"/>
                    <w:tr2bl w:val="nil"/>
                  </w:tcBorders>
                  <w:noWrap w:val="0"/>
                  <w:vAlign w:val="center"/>
                </w:tcPr>
                <w:p w14:paraId="1195ECC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p>
              </w:tc>
              <w:tc>
                <w:tcPr>
                  <w:tcW w:w="581" w:type="pct"/>
                  <w:tcBorders>
                    <w:tl2br w:val="nil"/>
                    <w:tr2bl w:val="nil"/>
                  </w:tcBorders>
                  <w:noWrap w:val="0"/>
                  <w:vAlign w:val="center"/>
                </w:tcPr>
                <w:p w14:paraId="3E08BA9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304-001-08</w:t>
                  </w:r>
                </w:p>
              </w:tc>
              <w:tc>
                <w:tcPr>
                  <w:tcW w:w="486" w:type="pct"/>
                  <w:tcBorders>
                    <w:tl2br w:val="nil"/>
                    <w:tr2bl w:val="nil"/>
                  </w:tcBorders>
                  <w:noWrap w:val="0"/>
                  <w:vAlign w:val="center"/>
                </w:tcPr>
                <w:p w14:paraId="1D80E3F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182E5B8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4408427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162A58F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64</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25CF669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有序堆放</w:t>
                  </w:r>
                </w:p>
              </w:tc>
              <w:tc>
                <w:tcPr>
                  <w:tcW w:w="387" w:type="pct"/>
                  <w:tcBorders>
                    <w:tl2br w:val="nil"/>
                    <w:tr2bl w:val="nil"/>
                  </w:tcBorders>
                  <w:noWrap w:val="0"/>
                  <w:vAlign w:val="center"/>
                </w:tcPr>
                <w:p w14:paraId="2DC37D7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资源化，外售</w:t>
                  </w:r>
                </w:p>
              </w:tc>
              <w:tc>
                <w:tcPr>
                  <w:tcW w:w="408" w:type="pct"/>
                  <w:tcBorders>
                    <w:tl2br w:val="nil"/>
                    <w:tr2bl w:val="nil"/>
                  </w:tcBorders>
                  <w:noWrap w:val="0"/>
                  <w:vAlign w:val="center"/>
                </w:tcPr>
                <w:p w14:paraId="5A8DBD2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64</w:t>
                  </w:r>
                  <w:r>
                    <w:rPr>
                      <w:rFonts w:hint="default" w:ascii="Times New Roman" w:hAnsi="Times New Roman" w:cs="Times New Roman"/>
                      <w:color w:val="auto"/>
                      <w:sz w:val="21"/>
                      <w:szCs w:val="21"/>
                    </w:rPr>
                    <w:t>t/a</w:t>
                  </w:r>
                </w:p>
              </w:tc>
              <w:tc>
                <w:tcPr>
                  <w:tcW w:w="471" w:type="pct"/>
                  <w:vMerge w:val="restart"/>
                  <w:tcBorders>
                    <w:tl2br w:val="nil"/>
                    <w:tr2bl w:val="nil"/>
                  </w:tcBorders>
                  <w:noWrap w:val="0"/>
                  <w:vAlign w:val="center"/>
                </w:tcPr>
                <w:p w14:paraId="31197D4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一般工业固体废物暂存场所有序存放</w:t>
                  </w:r>
                </w:p>
                <w:p w14:paraId="25AD2CF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14:paraId="5D8B7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70" w:type="pct"/>
                  <w:tcBorders>
                    <w:tl2br w:val="nil"/>
                    <w:tr2bl w:val="nil"/>
                  </w:tcBorders>
                  <w:noWrap w:val="0"/>
                  <w:vAlign w:val="center"/>
                </w:tcPr>
                <w:p w14:paraId="4C4BD66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52" w:type="pct"/>
                  <w:tcBorders>
                    <w:tl2br w:val="nil"/>
                    <w:tr2bl w:val="nil"/>
                  </w:tcBorders>
                  <w:noWrap w:val="0"/>
                  <w:vAlign w:val="center"/>
                </w:tcPr>
                <w:p w14:paraId="6540BC0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磨边、</w:t>
                  </w:r>
                </w:p>
                <w:p w14:paraId="1E2160E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钢化</w:t>
                  </w:r>
                </w:p>
              </w:tc>
              <w:tc>
                <w:tcPr>
                  <w:tcW w:w="394" w:type="pct"/>
                  <w:tcBorders>
                    <w:tl2br w:val="nil"/>
                    <w:tr2bl w:val="nil"/>
                  </w:tcBorders>
                  <w:noWrap w:val="0"/>
                  <w:vAlign w:val="center"/>
                </w:tcPr>
                <w:p w14:paraId="55E735C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玻璃渣</w:t>
                  </w:r>
                </w:p>
              </w:tc>
              <w:tc>
                <w:tcPr>
                  <w:tcW w:w="576" w:type="pct"/>
                  <w:tcBorders>
                    <w:tl2br w:val="nil"/>
                    <w:tr2bl w:val="nil"/>
                  </w:tcBorders>
                  <w:noWrap w:val="0"/>
                  <w:vAlign w:val="center"/>
                </w:tcPr>
                <w:p w14:paraId="2D13171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p>
              </w:tc>
              <w:tc>
                <w:tcPr>
                  <w:tcW w:w="581" w:type="pct"/>
                  <w:tcBorders>
                    <w:tl2br w:val="nil"/>
                    <w:tr2bl w:val="nil"/>
                  </w:tcBorders>
                  <w:noWrap w:val="0"/>
                  <w:vAlign w:val="center"/>
                </w:tcPr>
                <w:p w14:paraId="3909356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30</w:t>
                  </w: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-001-08</w:t>
                  </w:r>
                </w:p>
              </w:tc>
              <w:tc>
                <w:tcPr>
                  <w:tcW w:w="486" w:type="pct"/>
                  <w:tcBorders>
                    <w:tl2br w:val="nil"/>
                    <w:tr2bl w:val="nil"/>
                  </w:tcBorders>
                  <w:noWrap w:val="0"/>
                  <w:vAlign w:val="center"/>
                </w:tcPr>
                <w:p w14:paraId="18EF391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43BAD74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1E04E26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394D690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12.8</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7CBC02A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有序堆放</w:t>
                  </w:r>
                </w:p>
              </w:tc>
              <w:tc>
                <w:tcPr>
                  <w:tcW w:w="387" w:type="pct"/>
                  <w:tcBorders>
                    <w:tl2br w:val="nil"/>
                    <w:tr2bl w:val="nil"/>
                  </w:tcBorders>
                  <w:noWrap w:val="0"/>
                  <w:vAlign w:val="center"/>
                </w:tcPr>
                <w:p w14:paraId="3CAC1D0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资源化，外售</w:t>
                  </w:r>
                </w:p>
              </w:tc>
              <w:tc>
                <w:tcPr>
                  <w:tcW w:w="408" w:type="pct"/>
                  <w:tcBorders>
                    <w:tl2br w:val="nil"/>
                    <w:tr2bl w:val="nil"/>
                  </w:tcBorders>
                  <w:noWrap w:val="0"/>
                  <w:vAlign w:val="center"/>
                </w:tcPr>
                <w:p w14:paraId="09D7A06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12.8</w:t>
                  </w:r>
                  <w:r>
                    <w:rPr>
                      <w:rFonts w:hint="default" w:ascii="Times New Roman" w:hAnsi="Times New Roman" w:cs="Times New Roman"/>
                      <w:color w:val="auto"/>
                      <w:sz w:val="21"/>
                      <w:szCs w:val="21"/>
                    </w:rPr>
                    <w:t>t/a</w:t>
                  </w:r>
                </w:p>
              </w:tc>
              <w:tc>
                <w:tcPr>
                  <w:tcW w:w="471" w:type="pct"/>
                  <w:vMerge w:val="continue"/>
                  <w:tcBorders>
                    <w:tl2br w:val="nil"/>
                    <w:tr2bl w:val="nil"/>
                  </w:tcBorders>
                  <w:noWrap w:val="0"/>
                  <w:vAlign w:val="center"/>
                </w:tcPr>
                <w:p w14:paraId="271F48C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14:paraId="794837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170" w:type="pct"/>
                  <w:tcBorders>
                    <w:tl2br w:val="nil"/>
                    <w:tr2bl w:val="nil"/>
                  </w:tcBorders>
                  <w:noWrap w:val="0"/>
                  <w:vAlign w:val="center"/>
                </w:tcPr>
                <w:p w14:paraId="510D55E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52" w:type="pct"/>
                  <w:tcBorders>
                    <w:tl2br w:val="nil"/>
                    <w:tr2bl w:val="nil"/>
                  </w:tcBorders>
                  <w:noWrap w:val="0"/>
                  <w:vAlign w:val="center"/>
                </w:tcPr>
                <w:p w14:paraId="49EE4AF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水处理</w:t>
                  </w:r>
                </w:p>
              </w:tc>
              <w:tc>
                <w:tcPr>
                  <w:tcW w:w="394" w:type="pct"/>
                  <w:tcBorders>
                    <w:tl2br w:val="nil"/>
                    <w:tr2bl w:val="nil"/>
                  </w:tcBorders>
                  <w:noWrap w:val="0"/>
                  <w:vAlign w:val="center"/>
                </w:tcPr>
                <w:p w14:paraId="3BF9C4F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滤渣</w:t>
                  </w:r>
                </w:p>
              </w:tc>
              <w:tc>
                <w:tcPr>
                  <w:tcW w:w="576" w:type="pct"/>
                  <w:tcBorders>
                    <w:tl2br w:val="nil"/>
                    <w:tr2bl w:val="nil"/>
                  </w:tcBorders>
                  <w:noWrap w:val="0"/>
                  <w:vAlign w:val="center"/>
                </w:tcPr>
                <w:p w14:paraId="6F4B1CF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一般工业固体废物</w:t>
                  </w:r>
                </w:p>
              </w:tc>
              <w:tc>
                <w:tcPr>
                  <w:tcW w:w="581" w:type="pct"/>
                  <w:tcBorders>
                    <w:tl2br w:val="nil"/>
                    <w:tr2bl w:val="nil"/>
                  </w:tcBorders>
                  <w:noWrap w:val="0"/>
                  <w:vAlign w:val="center"/>
                </w:tcPr>
                <w:p w14:paraId="55B3C0D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304-001-08</w:t>
                  </w:r>
                </w:p>
              </w:tc>
              <w:tc>
                <w:tcPr>
                  <w:tcW w:w="486" w:type="pct"/>
                  <w:tcBorders>
                    <w:tl2br w:val="nil"/>
                    <w:tr2bl w:val="nil"/>
                  </w:tcBorders>
                  <w:noWrap w:val="0"/>
                  <w:vAlign w:val="center"/>
                </w:tcPr>
                <w:p w14:paraId="7B6DF69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0315309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141D9CB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6F2AFDD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3.2</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6C43F36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有序堆放</w:t>
                  </w:r>
                </w:p>
              </w:tc>
              <w:tc>
                <w:tcPr>
                  <w:tcW w:w="387" w:type="pct"/>
                  <w:tcBorders>
                    <w:tl2br w:val="nil"/>
                    <w:tr2bl w:val="nil"/>
                  </w:tcBorders>
                  <w:noWrap w:val="0"/>
                  <w:vAlign w:val="center"/>
                </w:tcPr>
                <w:p w14:paraId="5E1FFC7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资源化，外售</w:t>
                  </w:r>
                </w:p>
              </w:tc>
              <w:tc>
                <w:tcPr>
                  <w:tcW w:w="408" w:type="pct"/>
                  <w:tcBorders>
                    <w:tl2br w:val="nil"/>
                    <w:tr2bl w:val="nil"/>
                  </w:tcBorders>
                  <w:noWrap w:val="0"/>
                  <w:vAlign w:val="center"/>
                </w:tcPr>
                <w:p w14:paraId="1A6C77C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cs="Times New Roman"/>
                      <w:color w:val="auto"/>
                      <w:sz w:val="21"/>
                      <w:szCs w:val="21"/>
                      <w:lang w:val="en-US" w:eastAsia="zh-CN"/>
                    </w:rPr>
                    <w:t>3.2</w:t>
                  </w:r>
                  <w:r>
                    <w:rPr>
                      <w:rFonts w:hint="default" w:ascii="Times New Roman" w:hAnsi="Times New Roman" w:cs="Times New Roman"/>
                      <w:color w:val="auto"/>
                      <w:sz w:val="21"/>
                      <w:szCs w:val="21"/>
                    </w:rPr>
                    <w:t>t/a</w:t>
                  </w:r>
                </w:p>
              </w:tc>
              <w:tc>
                <w:tcPr>
                  <w:tcW w:w="471" w:type="pct"/>
                  <w:vMerge w:val="continue"/>
                  <w:tcBorders>
                    <w:tl2br w:val="nil"/>
                    <w:tr2bl w:val="nil"/>
                  </w:tcBorders>
                  <w:noWrap w:val="0"/>
                  <w:vAlign w:val="center"/>
                </w:tcPr>
                <w:p w14:paraId="6481176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p>
              </w:tc>
            </w:tr>
            <w:tr w14:paraId="1386D0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170" w:type="pct"/>
                  <w:tcBorders>
                    <w:tl2br w:val="nil"/>
                    <w:tr2bl w:val="nil"/>
                  </w:tcBorders>
                  <w:noWrap w:val="0"/>
                  <w:vAlign w:val="center"/>
                </w:tcPr>
                <w:p w14:paraId="27EF8A6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252" w:type="pct"/>
                  <w:tcBorders>
                    <w:tl2br w:val="nil"/>
                    <w:tr2bl w:val="nil"/>
                  </w:tcBorders>
                  <w:noWrap w:val="0"/>
                  <w:vAlign w:val="center"/>
                </w:tcPr>
                <w:p w14:paraId="10C1F01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铝框加工</w:t>
                  </w:r>
                </w:p>
              </w:tc>
              <w:tc>
                <w:tcPr>
                  <w:tcW w:w="394" w:type="pct"/>
                  <w:tcBorders>
                    <w:tl2br w:val="nil"/>
                    <w:tr2bl w:val="nil"/>
                  </w:tcBorders>
                  <w:noWrap w:val="0"/>
                  <w:vAlign w:val="center"/>
                </w:tcPr>
                <w:p w14:paraId="7065653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铝条边角料</w:t>
                  </w:r>
                </w:p>
              </w:tc>
              <w:tc>
                <w:tcPr>
                  <w:tcW w:w="576" w:type="pct"/>
                  <w:tcBorders>
                    <w:tl2br w:val="nil"/>
                    <w:tr2bl w:val="nil"/>
                  </w:tcBorders>
                  <w:noWrap w:val="0"/>
                  <w:vAlign w:val="center"/>
                </w:tcPr>
                <w:p w14:paraId="4EAD11B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p>
              </w:tc>
              <w:tc>
                <w:tcPr>
                  <w:tcW w:w="581" w:type="pct"/>
                  <w:tcBorders>
                    <w:tl2br w:val="nil"/>
                    <w:tr2bl w:val="nil"/>
                  </w:tcBorders>
                  <w:noWrap w:val="0"/>
                  <w:vAlign w:val="center"/>
                </w:tcPr>
                <w:p w14:paraId="16CC750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304-001-10</w:t>
                  </w:r>
                </w:p>
              </w:tc>
              <w:tc>
                <w:tcPr>
                  <w:tcW w:w="486" w:type="pct"/>
                  <w:tcBorders>
                    <w:tl2br w:val="nil"/>
                    <w:tr2bl w:val="nil"/>
                  </w:tcBorders>
                  <w:noWrap w:val="0"/>
                  <w:vAlign w:val="center"/>
                </w:tcPr>
                <w:p w14:paraId="65DC837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6747C0E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0E7A3EB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68A39BC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2F461D6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有序堆放</w:t>
                  </w:r>
                </w:p>
              </w:tc>
              <w:tc>
                <w:tcPr>
                  <w:tcW w:w="387" w:type="pct"/>
                  <w:tcBorders>
                    <w:tl2br w:val="nil"/>
                    <w:tr2bl w:val="nil"/>
                  </w:tcBorders>
                  <w:noWrap w:val="0"/>
                  <w:vAlign w:val="center"/>
                </w:tcPr>
                <w:p w14:paraId="06BF23C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eastAsia="zh-CN"/>
                    </w:rPr>
                    <w:t>资源化，外售</w:t>
                  </w:r>
                </w:p>
              </w:tc>
              <w:tc>
                <w:tcPr>
                  <w:tcW w:w="408" w:type="pct"/>
                  <w:tcBorders>
                    <w:tl2br w:val="nil"/>
                    <w:tr2bl w:val="nil"/>
                  </w:tcBorders>
                  <w:noWrap w:val="0"/>
                  <w:vAlign w:val="center"/>
                </w:tcPr>
                <w:p w14:paraId="4C6E106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t/a</w:t>
                  </w:r>
                </w:p>
              </w:tc>
              <w:tc>
                <w:tcPr>
                  <w:tcW w:w="471" w:type="pct"/>
                  <w:vMerge w:val="continue"/>
                  <w:tcBorders>
                    <w:tl2br w:val="nil"/>
                    <w:tr2bl w:val="nil"/>
                  </w:tcBorders>
                  <w:noWrap w:val="0"/>
                  <w:vAlign w:val="center"/>
                </w:tcPr>
                <w:p w14:paraId="2A5E0F1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14:paraId="2A6F88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70" w:type="pct"/>
                  <w:tcBorders>
                    <w:tl2br w:val="nil"/>
                    <w:tr2bl w:val="nil"/>
                  </w:tcBorders>
                  <w:noWrap w:val="0"/>
                  <w:vAlign w:val="center"/>
                </w:tcPr>
                <w:p w14:paraId="763776C9">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5</w:t>
                  </w:r>
                </w:p>
              </w:tc>
              <w:tc>
                <w:tcPr>
                  <w:tcW w:w="252" w:type="pct"/>
                  <w:tcBorders>
                    <w:tl2br w:val="nil"/>
                    <w:tr2bl w:val="nil"/>
                  </w:tcBorders>
                  <w:noWrap w:val="0"/>
                  <w:vAlign w:val="center"/>
                </w:tcPr>
                <w:p w14:paraId="1121AF5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灌装分子筛</w:t>
                  </w:r>
                </w:p>
              </w:tc>
              <w:tc>
                <w:tcPr>
                  <w:tcW w:w="394" w:type="pct"/>
                  <w:tcBorders>
                    <w:tl2br w:val="nil"/>
                    <w:tr2bl w:val="nil"/>
                  </w:tcBorders>
                  <w:noWrap w:val="0"/>
                  <w:vAlign w:val="center"/>
                </w:tcPr>
                <w:p w14:paraId="2C80363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废包装</w:t>
                  </w:r>
                </w:p>
              </w:tc>
              <w:tc>
                <w:tcPr>
                  <w:tcW w:w="576" w:type="pct"/>
                  <w:tcBorders>
                    <w:tl2br w:val="nil"/>
                    <w:tr2bl w:val="nil"/>
                  </w:tcBorders>
                  <w:noWrap w:val="0"/>
                  <w:vAlign w:val="center"/>
                </w:tcPr>
                <w:p w14:paraId="0D7CA24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p>
              </w:tc>
              <w:tc>
                <w:tcPr>
                  <w:tcW w:w="581" w:type="pct"/>
                  <w:tcBorders>
                    <w:tl2br w:val="nil"/>
                    <w:tr2bl w:val="nil"/>
                  </w:tcBorders>
                  <w:noWrap w:val="0"/>
                  <w:vAlign w:val="center"/>
                </w:tcPr>
                <w:p w14:paraId="40D0927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304-001-07</w:t>
                  </w:r>
                </w:p>
              </w:tc>
              <w:tc>
                <w:tcPr>
                  <w:tcW w:w="486" w:type="pct"/>
                  <w:tcBorders>
                    <w:tl2br w:val="nil"/>
                    <w:tr2bl w:val="nil"/>
                  </w:tcBorders>
                  <w:noWrap w:val="0"/>
                  <w:vAlign w:val="center"/>
                </w:tcPr>
                <w:p w14:paraId="32054EB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69C2305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452C399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08460F5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0.1</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3A1B95E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有序堆放</w:t>
                  </w:r>
                </w:p>
              </w:tc>
              <w:tc>
                <w:tcPr>
                  <w:tcW w:w="387" w:type="pct"/>
                  <w:tcBorders>
                    <w:tl2br w:val="nil"/>
                    <w:tr2bl w:val="nil"/>
                  </w:tcBorders>
                  <w:noWrap w:val="0"/>
                  <w:vAlign w:val="center"/>
                </w:tcPr>
                <w:p w14:paraId="2DD1C6E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资源化，外售</w:t>
                  </w:r>
                </w:p>
              </w:tc>
              <w:tc>
                <w:tcPr>
                  <w:tcW w:w="408" w:type="pct"/>
                  <w:tcBorders>
                    <w:tl2br w:val="nil"/>
                    <w:tr2bl w:val="nil"/>
                  </w:tcBorders>
                  <w:noWrap w:val="0"/>
                  <w:vAlign w:val="center"/>
                </w:tcPr>
                <w:p w14:paraId="3EF67AA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0.1</w:t>
                  </w:r>
                  <w:r>
                    <w:rPr>
                      <w:rFonts w:hint="default" w:ascii="Times New Roman" w:hAnsi="Times New Roman" w:cs="Times New Roman"/>
                      <w:color w:val="auto"/>
                      <w:sz w:val="21"/>
                      <w:szCs w:val="21"/>
                    </w:rPr>
                    <w:t>t/a</w:t>
                  </w:r>
                </w:p>
              </w:tc>
              <w:tc>
                <w:tcPr>
                  <w:tcW w:w="471" w:type="pct"/>
                  <w:tcBorders>
                    <w:tl2br w:val="nil"/>
                    <w:tr2bl w:val="nil"/>
                  </w:tcBorders>
                  <w:noWrap w:val="0"/>
                  <w:vAlign w:val="center"/>
                </w:tcPr>
                <w:p w14:paraId="71E2235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p>
              </w:tc>
            </w:tr>
            <w:tr w14:paraId="7E1E29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170" w:type="pct"/>
                  <w:tcBorders>
                    <w:tl2br w:val="nil"/>
                    <w:tr2bl w:val="nil"/>
                  </w:tcBorders>
                  <w:noWrap w:val="0"/>
                  <w:vAlign w:val="center"/>
                </w:tcPr>
                <w:p w14:paraId="5E4975F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6</w:t>
                  </w:r>
                </w:p>
              </w:tc>
              <w:tc>
                <w:tcPr>
                  <w:tcW w:w="252" w:type="pct"/>
                  <w:tcBorders>
                    <w:tl2br w:val="nil"/>
                    <w:tr2bl w:val="nil"/>
                  </w:tcBorders>
                  <w:noWrap w:val="0"/>
                  <w:vAlign w:val="center"/>
                </w:tcPr>
                <w:p w14:paraId="22202C7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调胶</w:t>
                  </w:r>
                </w:p>
              </w:tc>
              <w:tc>
                <w:tcPr>
                  <w:tcW w:w="394" w:type="pct"/>
                  <w:tcBorders>
                    <w:tl2br w:val="nil"/>
                    <w:tr2bl w:val="nil"/>
                  </w:tcBorders>
                  <w:noWrap w:val="0"/>
                  <w:vAlign w:val="center"/>
                </w:tcPr>
                <w:p w14:paraId="2E7B176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废胶桶</w:t>
                  </w:r>
                </w:p>
              </w:tc>
              <w:tc>
                <w:tcPr>
                  <w:tcW w:w="576" w:type="pct"/>
                  <w:tcBorders>
                    <w:tl2br w:val="nil"/>
                    <w:tr2bl w:val="nil"/>
                  </w:tcBorders>
                  <w:noWrap w:val="0"/>
                  <w:vAlign w:val="center"/>
                </w:tcPr>
                <w:p w14:paraId="31ACB22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危险废物</w:t>
                  </w:r>
                </w:p>
              </w:tc>
              <w:tc>
                <w:tcPr>
                  <w:tcW w:w="581" w:type="pct"/>
                  <w:tcBorders>
                    <w:tl2br w:val="nil"/>
                    <w:tr2bl w:val="nil"/>
                  </w:tcBorders>
                  <w:noWrap w:val="0"/>
                  <w:vAlign w:val="center"/>
                </w:tcPr>
                <w:p w14:paraId="63D9219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900-041-49</w:t>
                  </w:r>
                </w:p>
              </w:tc>
              <w:tc>
                <w:tcPr>
                  <w:tcW w:w="486" w:type="pct"/>
                  <w:tcBorders>
                    <w:tl2br w:val="nil"/>
                    <w:tr2bl w:val="nil"/>
                  </w:tcBorders>
                  <w:noWrap w:val="0"/>
                  <w:vAlign w:val="center"/>
                </w:tcPr>
                <w:p w14:paraId="08C3155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VOCs</w:t>
                  </w:r>
                </w:p>
              </w:tc>
              <w:tc>
                <w:tcPr>
                  <w:tcW w:w="237" w:type="pct"/>
                  <w:tcBorders>
                    <w:tl2br w:val="nil"/>
                    <w:tr2bl w:val="nil"/>
                  </w:tcBorders>
                  <w:noWrap w:val="0"/>
                  <w:vAlign w:val="center"/>
                </w:tcPr>
                <w:p w14:paraId="2592F45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固态</w:t>
                  </w:r>
                </w:p>
              </w:tc>
              <w:tc>
                <w:tcPr>
                  <w:tcW w:w="306" w:type="pct"/>
                  <w:tcBorders>
                    <w:tl2br w:val="nil"/>
                    <w:tr2bl w:val="nil"/>
                  </w:tcBorders>
                  <w:noWrap w:val="0"/>
                  <w:vAlign w:val="center"/>
                </w:tcPr>
                <w:p w14:paraId="0933B97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T/I</w:t>
                  </w:r>
                </w:p>
              </w:tc>
              <w:tc>
                <w:tcPr>
                  <w:tcW w:w="345" w:type="pct"/>
                  <w:tcBorders>
                    <w:tl2br w:val="nil"/>
                    <w:tr2bl w:val="nil"/>
                  </w:tcBorders>
                  <w:noWrap w:val="0"/>
                  <w:vAlign w:val="center"/>
                </w:tcPr>
                <w:p w14:paraId="5EE4489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0.72t/a</w:t>
                  </w:r>
                </w:p>
              </w:tc>
              <w:tc>
                <w:tcPr>
                  <w:tcW w:w="383" w:type="pct"/>
                  <w:tcBorders>
                    <w:tl2br w:val="nil"/>
                    <w:tr2bl w:val="nil"/>
                  </w:tcBorders>
                  <w:noWrap w:val="0"/>
                  <w:vAlign w:val="center"/>
                </w:tcPr>
                <w:p w14:paraId="2D3D5A5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有序堆放</w:t>
                  </w:r>
                </w:p>
              </w:tc>
              <w:tc>
                <w:tcPr>
                  <w:tcW w:w="387" w:type="pct"/>
                  <w:tcBorders>
                    <w:tl2br w:val="nil"/>
                    <w:tr2bl w:val="nil"/>
                  </w:tcBorders>
                  <w:noWrap w:val="0"/>
                  <w:vAlign w:val="center"/>
                </w:tcPr>
                <w:p w14:paraId="65DEE96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委托有资质单位处置</w:t>
                  </w:r>
                </w:p>
              </w:tc>
              <w:tc>
                <w:tcPr>
                  <w:tcW w:w="408" w:type="pct"/>
                  <w:tcBorders>
                    <w:tl2br w:val="nil"/>
                    <w:tr2bl w:val="nil"/>
                  </w:tcBorders>
                  <w:noWrap w:val="0"/>
                  <w:vAlign w:val="center"/>
                </w:tcPr>
                <w:p w14:paraId="2F91D14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0.72t/a</w:t>
                  </w:r>
                </w:p>
              </w:tc>
              <w:tc>
                <w:tcPr>
                  <w:tcW w:w="471" w:type="pct"/>
                  <w:vMerge w:val="restart"/>
                  <w:tcBorders>
                    <w:tl2br w:val="nil"/>
                    <w:tr2bl w:val="nil"/>
                  </w:tcBorders>
                  <w:noWrap w:val="0"/>
                  <w:vAlign w:val="center"/>
                </w:tcPr>
                <w:p w14:paraId="4EAB696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规范设置危险废物暂存间，交由危险废物处理单位处理</w:t>
                  </w:r>
                </w:p>
                <w:p w14:paraId="1C0405E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p>
              </w:tc>
            </w:tr>
            <w:tr w14:paraId="3A089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170" w:type="pct"/>
                  <w:tcBorders>
                    <w:tl2br w:val="nil"/>
                    <w:tr2bl w:val="nil"/>
                  </w:tcBorders>
                  <w:noWrap w:val="0"/>
                  <w:vAlign w:val="center"/>
                </w:tcPr>
                <w:p w14:paraId="16C6814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7</w:t>
                  </w:r>
                </w:p>
              </w:tc>
              <w:tc>
                <w:tcPr>
                  <w:tcW w:w="252" w:type="pct"/>
                  <w:tcBorders>
                    <w:tl2br w:val="nil"/>
                    <w:tr2bl w:val="nil"/>
                  </w:tcBorders>
                  <w:noWrap w:val="0"/>
                  <w:vAlign w:val="center"/>
                </w:tcPr>
                <w:p w14:paraId="5F1D18B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废气处理</w:t>
                  </w:r>
                </w:p>
              </w:tc>
              <w:tc>
                <w:tcPr>
                  <w:tcW w:w="394" w:type="pct"/>
                  <w:tcBorders>
                    <w:tl2br w:val="nil"/>
                    <w:tr2bl w:val="nil"/>
                  </w:tcBorders>
                  <w:noWrap w:val="0"/>
                  <w:vAlign w:val="center"/>
                </w:tcPr>
                <w:p w14:paraId="7FDD780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废活性炭</w:t>
                  </w:r>
                </w:p>
              </w:tc>
              <w:tc>
                <w:tcPr>
                  <w:tcW w:w="576" w:type="pct"/>
                  <w:tcBorders>
                    <w:tl2br w:val="nil"/>
                    <w:tr2bl w:val="nil"/>
                  </w:tcBorders>
                  <w:noWrap w:val="0"/>
                  <w:vAlign w:val="center"/>
                </w:tcPr>
                <w:p w14:paraId="4F3EF91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危险废物</w:t>
                  </w:r>
                </w:p>
              </w:tc>
              <w:tc>
                <w:tcPr>
                  <w:tcW w:w="581" w:type="pct"/>
                  <w:tcBorders>
                    <w:tl2br w:val="nil"/>
                    <w:tr2bl w:val="nil"/>
                  </w:tcBorders>
                  <w:noWrap w:val="0"/>
                  <w:vAlign w:val="center"/>
                </w:tcPr>
                <w:p w14:paraId="2630A32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900-039-49</w:t>
                  </w:r>
                </w:p>
              </w:tc>
              <w:tc>
                <w:tcPr>
                  <w:tcW w:w="486" w:type="pct"/>
                  <w:tcBorders>
                    <w:tl2br w:val="nil"/>
                    <w:tr2bl w:val="nil"/>
                  </w:tcBorders>
                  <w:noWrap w:val="0"/>
                  <w:vAlign w:val="center"/>
                </w:tcPr>
                <w:p w14:paraId="09DEF91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eastAsia="zh-CN"/>
                    </w:rPr>
                  </w:pPr>
                  <w:r>
                    <w:rPr>
                      <w:rFonts w:hint="eastAsia" w:cs="Times New Roman"/>
                      <w:color w:val="auto"/>
                      <w:sz w:val="21"/>
                      <w:szCs w:val="21"/>
                      <w:highlight w:val="none"/>
                      <w:lang w:val="en-US" w:eastAsia="zh-CN"/>
                    </w:rPr>
                    <w:t>VOCs</w:t>
                  </w:r>
                </w:p>
              </w:tc>
              <w:tc>
                <w:tcPr>
                  <w:tcW w:w="237" w:type="pct"/>
                  <w:tcBorders>
                    <w:tl2br w:val="nil"/>
                    <w:tr2bl w:val="nil"/>
                  </w:tcBorders>
                  <w:noWrap w:val="0"/>
                  <w:vAlign w:val="center"/>
                </w:tcPr>
                <w:p w14:paraId="372338A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固态</w:t>
                  </w:r>
                </w:p>
              </w:tc>
              <w:tc>
                <w:tcPr>
                  <w:tcW w:w="306" w:type="pct"/>
                  <w:tcBorders>
                    <w:tl2br w:val="nil"/>
                    <w:tr2bl w:val="nil"/>
                  </w:tcBorders>
                  <w:noWrap w:val="0"/>
                  <w:vAlign w:val="center"/>
                </w:tcPr>
                <w:p w14:paraId="12A7C29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lang w:val="en-US" w:eastAsia="zh-CN"/>
                    </w:rPr>
                    <w:t>T，I</w:t>
                  </w:r>
                </w:p>
              </w:tc>
              <w:tc>
                <w:tcPr>
                  <w:tcW w:w="345" w:type="pct"/>
                  <w:tcBorders>
                    <w:tl2br w:val="nil"/>
                    <w:tr2bl w:val="nil"/>
                  </w:tcBorders>
                  <w:noWrap w:val="0"/>
                  <w:vAlign w:val="center"/>
                </w:tcPr>
                <w:p w14:paraId="7C5E237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4.29</w:t>
                  </w:r>
                  <w:r>
                    <w:rPr>
                      <w:rFonts w:hint="default" w:ascii="Times New Roman" w:hAnsi="Times New Roman" w:cs="Times New Roman"/>
                      <w:color w:val="auto"/>
                      <w:sz w:val="21"/>
                      <w:szCs w:val="21"/>
                      <w:highlight w:val="none"/>
                    </w:rPr>
                    <w:t>t/a</w:t>
                  </w:r>
                </w:p>
              </w:tc>
              <w:tc>
                <w:tcPr>
                  <w:tcW w:w="383" w:type="pct"/>
                  <w:tcBorders>
                    <w:tl2br w:val="nil"/>
                    <w:tr2bl w:val="nil"/>
                  </w:tcBorders>
                  <w:noWrap w:val="0"/>
                  <w:vAlign w:val="center"/>
                </w:tcPr>
                <w:p w14:paraId="099F4CD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rPr>
                  </w:pPr>
                  <w:r>
                    <w:rPr>
                      <w:rFonts w:hint="eastAsia" w:cs="Times New Roman"/>
                      <w:color w:val="auto"/>
                      <w:sz w:val="21"/>
                      <w:szCs w:val="21"/>
                      <w:highlight w:val="none"/>
                      <w:lang w:eastAsia="zh-CN"/>
                    </w:rPr>
                    <w:t>有序堆放</w:t>
                  </w:r>
                </w:p>
              </w:tc>
              <w:tc>
                <w:tcPr>
                  <w:tcW w:w="387" w:type="pct"/>
                  <w:tcBorders>
                    <w:tl2br w:val="nil"/>
                    <w:tr2bl w:val="nil"/>
                  </w:tcBorders>
                  <w:noWrap w:val="0"/>
                  <w:vAlign w:val="center"/>
                </w:tcPr>
                <w:p w14:paraId="54F138B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eastAsia="zh-CN"/>
                    </w:rPr>
                  </w:pPr>
                  <w:r>
                    <w:rPr>
                      <w:rFonts w:hint="eastAsia" w:cs="Times New Roman"/>
                      <w:color w:val="auto"/>
                      <w:sz w:val="21"/>
                      <w:szCs w:val="21"/>
                      <w:highlight w:val="none"/>
                      <w:lang w:eastAsia="zh-CN"/>
                    </w:rPr>
                    <w:t>委托有资质单位处置</w:t>
                  </w:r>
                </w:p>
              </w:tc>
              <w:tc>
                <w:tcPr>
                  <w:tcW w:w="408" w:type="pct"/>
                  <w:tcBorders>
                    <w:tl2br w:val="nil"/>
                    <w:tr2bl w:val="nil"/>
                  </w:tcBorders>
                  <w:noWrap w:val="0"/>
                  <w:vAlign w:val="center"/>
                </w:tcPr>
                <w:p w14:paraId="072EEEE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4.29</w:t>
                  </w:r>
                  <w:r>
                    <w:rPr>
                      <w:rFonts w:hint="default" w:ascii="Times New Roman" w:hAnsi="Times New Roman" w:cs="Times New Roman"/>
                      <w:color w:val="auto"/>
                      <w:sz w:val="21"/>
                      <w:szCs w:val="21"/>
                      <w:highlight w:val="none"/>
                    </w:rPr>
                    <w:t>t/a</w:t>
                  </w:r>
                </w:p>
              </w:tc>
              <w:tc>
                <w:tcPr>
                  <w:tcW w:w="471" w:type="pct"/>
                  <w:vMerge w:val="continue"/>
                  <w:tcBorders>
                    <w:tl2br w:val="nil"/>
                    <w:tr2bl w:val="nil"/>
                  </w:tcBorders>
                  <w:noWrap w:val="0"/>
                  <w:vAlign w:val="center"/>
                </w:tcPr>
                <w:p w14:paraId="294A62E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highlight w:val="none"/>
                    </w:rPr>
                  </w:pPr>
                </w:p>
              </w:tc>
            </w:tr>
            <w:tr w14:paraId="195EE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70" w:type="pct"/>
                  <w:tcBorders>
                    <w:tl2br w:val="nil"/>
                    <w:tr2bl w:val="nil"/>
                  </w:tcBorders>
                  <w:noWrap w:val="0"/>
                  <w:vAlign w:val="center"/>
                </w:tcPr>
                <w:p w14:paraId="55686C9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8</w:t>
                  </w:r>
                </w:p>
              </w:tc>
              <w:tc>
                <w:tcPr>
                  <w:tcW w:w="252" w:type="pct"/>
                  <w:tcBorders>
                    <w:tl2br w:val="nil"/>
                    <w:tr2bl w:val="nil"/>
                  </w:tcBorders>
                  <w:noWrap w:val="0"/>
                  <w:vAlign w:val="center"/>
                </w:tcPr>
                <w:p w14:paraId="39EC87A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设备维修</w:t>
                  </w:r>
                </w:p>
              </w:tc>
              <w:tc>
                <w:tcPr>
                  <w:tcW w:w="394" w:type="pct"/>
                  <w:tcBorders>
                    <w:tl2br w:val="nil"/>
                    <w:tr2bl w:val="nil"/>
                  </w:tcBorders>
                  <w:noWrap w:val="0"/>
                  <w:vAlign w:val="center"/>
                </w:tcPr>
                <w:p w14:paraId="44D7ED8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废机油</w:t>
                  </w:r>
                </w:p>
              </w:tc>
              <w:tc>
                <w:tcPr>
                  <w:tcW w:w="576" w:type="pct"/>
                  <w:tcBorders>
                    <w:tl2br w:val="nil"/>
                    <w:tr2bl w:val="nil"/>
                  </w:tcBorders>
                  <w:noWrap w:val="0"/>
                  <w:vAlign w:val="center"/>
                </w:tcPr>
                <w:p w14:paraId="1F35DE5B">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危险废物</w:t>
                  </w:r>
                </w:p>
              </w:tc>
              <w:tc>
                <w:tcPr>
                  <w:tcW w:w="581" w:type="pct"/>
                  <w:tcBorders>
                    <w:tl2br w:val="nil"/>
                    <w:tr2bl w:val="nil"/>
                  </w:tcBorders>
                  <w:noWrap w:val="0"/>
                  <w:vAlign w:val="center"/>
                </w:tcPr>
                <w:p w14:paraId="0046A68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900-218-08</w:t>
                  </w:r>
                </w:p>
              </w:tc>
              <w:tc>
                <w:tcPr>
                  <w:tcW w:w="486" w:type="pct"/>
                  <w:tcBorders>
                    <w:tl2br w:val="nil"/>
                    <w:tr2bl w:val="nil"/>
                  </w:tcBorders>
                  <w:noWrap w:val="0"/>
                  <w:vAlign w:val="center"/>
                </w:tcPr>
                <w:p w14:paraId="67F86E8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矿物质油</w:t>
                  </w:r>
                </w:p>
              </w:tc>
              <w:tc>
                <w:tcPr>
                  <w:tcW w:w="237" w:type="pct"/>
                  <w:tcBorders>
                    <w:tl2br w:val="nil"/>
                    <w:tr2bl w:val="nil"/>
                  </w:tcBorders>
                  <w:noWrap w:val="0"/>
                  <w:vAlign w:val="center"/>
                </w:tcPr>
                <w:p w14:paraId="3B10D6B8">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液态</w:t>
                  </w:r>
                </w:p>
              </w:tc>
              <w:tc>
                <w:tcPr>
                  <w:tcW w:w="306" w:type="pct"/>
                  <w:tcBorders>
                    <w:tl2br w:val="nil"/>
                    <w:tr2bl w:val="nil"/>
                  </w:tcBorders>
                  <w:noWrap w:val="0"/>
                  <w:vAlign w:val="center"/>
                </w:tcPr>
                <w:p w14:paraId="1D6A57E1">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T，I</w:t>
                  </w:r>
                </w:p>
              </w:tc>
              <w:tc>
                <w:tcPr>
                  <w:tcW w:w="345" w:type="pct"/>
                  <w:tcBorders>
                    <w:tl2br w:val="nil"/>
                    <w:tr2bl w:val="nil"/>
                  </w:tcBorders>
                  <w:noWrap w:val="0"/>
                  <w:vAlign w:val="center"/>
                </w:tcPr>
                <w:p w14:paraId="564F3A0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0.1t/a</w:t>
                  </w:r>
                </w:p>
              </w:tc>
              <w:tc>
                <w:tcPr>
                  <w:tcW w:w="383" w:type="pct"/>
                  <w:tcBorders>
                    <w:tl2br w:val="nil"/>
                    <w:tr2bl w:val="nil"/>
                  </w:tcBorders>
                  <w:noWrap w:val="0"/>
                  <w:vAlign w:val="center"/>
                </w:tcPr>
                <w:p w14:paraId="03C8804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eastAsia="zh-CN"/>
                    </w:rPr>
                    <w:t>收集暂存危废间</w:t>
                  </w:r>
                </w:p>
              </w:tc>
              <w:tc>
                <w:tcPr>
                  <w:tcW w:w="387" w:type="pct"/>
                  <w:tcBorders>
                    <w:tl2br w:val="nil"/>
                    <w:tr2bl w:val="nil"/>
                  </w:tcBorders>
                  <w:noWrap w:val="0"/>
                  <w:vAlign w:val="center"/>
                </w:tcPr>
                <w:p w14:paraId="070DF3C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eastAsia="zh-CN"/>
                    </w:rPr>
                    <w:t>委托有资质单位处置</w:t>
                  </w:r>
                </w:p>
              </w:tc>
              <w:tc>
                <w:tcPr>
                  <w:tcW w:w="408" w:type="pct"/>
                  <w:tcBorders>
                    <w:tl2br w:val="nil"/>
                    <w:tr2bl w:val="nil"/>
                  </w:tcBorders>
                  <w:noWrap w:val="0"/>
                  <w:vAlign w:val="center"/>
                </w:tcPr>
                <w:p w14:paraId="10A96B0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0.1t/a</w:t>
                  </w:r>
                </w:p>
              </w:tc>
              <w:tc>
                <w:tcPr>
                  <w:tcW w:w="471" w:type="pct"/>
                  <w:vMerge w:val="continue"/>
                  <w:tcBorders>
                    <w:tl2br w:val="nil"/>
                    <w:tr2bl w:val="nil"/>
                  </w:tcBorders>
                  <w:noWrap w:val="0"/>
                  <w:vAlign w:val="center"/>
                </w:tcPr>
                <w:p w14:paraId="1283812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p>
              </w:tc>
            </w:tr>
            <w:tr w14:paraId="45F6A2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170" w:type="pct"/>
                  <w:tcBorders>
                    <w:tl2br w:val="nil"/>
                    <w:tr2bl w:val="nil"/>
                  </w:tcBorders>
                  <w:noWrap w:val="0"/>
                  <w:vAlign w:val="center"/>
                </w:tcPr>
                <w:p w14:paraId="5867990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9</w:t>
                  </w:r>
                </w:p>
              </w:tc>
              <w:tc>
                <w:tcPr>
                  <w:tcW w:w="252" w:type="pct"/>
                  <w:tcBorders>
                    <w:tl2br w:val="nil"/>
                    <w:tr2bl w:val="nil"/>
                  </w:tcBorders>
                  <w:noWrap w:val="0"/>
                  <w:vAlign w:val="center"/>
                </w:tcPr>
                <w:p w14:paraId="39F6529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办公生活</w:t>
                  </w:r>
                </w:p>
              </w:tc>
              <w:tc>
                <w:tcPr>
                  <w:tcW w:w="394" w:type="pct"/>
                  <w:tcBorders>
                    <w:tl2br w:val="nil"/>
                    <w:tr2bl w:val="nil"/>
                  </w:tcBorders>
                  <w:noWrap w:val="0"/>
                  <w:vAlign w:val="center"/>
                </w:tcPr>
                <w:p w14:paraId="1DE362F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eastAsia="zh-CN"/>
                    </w:rPr>
                    <w:t>生活垃圾</w:t>
                  </w:r>
                </w:p>
              </w:tc>
              <w:tc>
                <w:tcPr>
                  <w:tcW w:w="576" w:type="pct"/>
                  <w:tcBorders>
                    <w:tl2br w:val="nil"/>
                    <w:tr2bl w:val="nil"/>
                  </w:tcBorders>
                  <w:noWrap w:val="0"/>
                  <w:vAlign w:val="center"/>
                </w:tcPr>
                <w:p w14:paraId="1E1719D4">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生活垃圾</w:t>
                  </w:r>
                </w:p>
              </w:tc>
              <w:tc>
                <w:tcPr>
                  <w:tcW w:w="581" w:type="pct"/>
                  <w:tcBorders>
                    <w:tl2br w:val="nil"/>
                    <w:tr2bl w:val="nil"/>
                  </w:tcBorders>
                  <w:noWrap w:val="0"/>
                  <w:vAlign w:val="center"/>
                </w:tcPr>
                <w:p w14:paraId="0AE0CA8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w:t>
                  </w:r>
                </w:p>
              </w:tc>
              <w:tc>
                <w:tcPr>
                  <w:tcW w:w="486" w:type="pct"/>
                  <w:tcBorders>
                    <w:tl2br w:val="nil"/>
                    <w:tr2bl w:val="nil"/>
                  </w:tcBorders>
                  <w:noWrap w:val="0"/>
                  <w:vAlign w:val="center"/>
                </w:tcPr>
                <w:p w14:paraId="08AEAD7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w:t>
                  </w:r>
                </w:p>
              </w:tc>
              <w:tc>
                <w:tcPr>
                  <w:tcW w:w="237" w:type="pct"/>
                  <w:tcBorders>
                    <w:tl2br w:val="nil"/>
                    <w:tr2bl w:val="nil"/>
                  </w:tcBorders>
                  <w:noWrap w:val="0"/>
                  <w:vAlign w:val="center"/>
                </w:tcPr>
                <w:p w14:paraId="7E46008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固态</w:t>
                  </w:r>
                </w:p>
              </w:tc>
              <w:tc>
                <w:tcPr>
                  <w:tcW w:w="306" w:type="pct"/>
                  <w:tcBorders>
                    <w:tl2br w:val="nil"/>
                    <w:tr2bl w:val="nil"/>
                  </w:tcBorders>
                  <w:noWrap w:val="0"/>
                  <w:vAlign w:val="center"/>
                </w:tcPr>
                <w:p w14:paraId="0AF1213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w:t>
                  </w:r>
                </w:p>
              </w:tc>
              <w:tc>
                <w:tcPr>
                  <w:tcW w:w="345" w:type="pct"/>
                  <w:tcBorders>
                    <w:tl2br w:val="nil"/>
                    <w:tr2bl w:val="nil"/>
                  </w:tcBorders>
                  <w:noWrap w:val="0"/>
                  <w:vAlign w:val="center"/>
                </w:tcPr>
                <w:p w14:paraId="1711F26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2.25</w:t>
                  </w:r>
                  <w:r>
                    <w:rPr>
                      <w:rFonts w:hint="default" w:ascii="Times New Roman" w:hAnsi="Times New Roman" w:cs="Times New Roman"/>
                      <w:color w:val="auto"/>
                      <w:sz w:val="21"/>
                      <w:szCs w:val="21"/>
                    </w:rPr>
                    <w:t>t/a</w:t>
                  </w:r>
                </w:p>
              </w:tc>
              <w:tc>
                <w:tcPr>
                  <w:tcW w:w="383" w:type="pct"/>
                  <w:tcBorders>
                    <w:tl2br w:val="nil"/>
                    <w:tr2bl w:val="nil"/>
                  </w:tcBorders>
                  <w:noWrap w:val="0"/>
                  <w:vAlign w:val="center"/>
                </w:tcPr>
                <w:p w14:paraId="27D39E20">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垃圾桶</w:t>
                  </w:r>
                </w:p>
              </w:tc>
              <w:tc>
                <w:tcPr>
                  <w:tcW w:w="387" w:type="pct"/>
                  <w:tcBorders>
                    <w:tl2br w:val="nil"/>
                    <w:tr2bl w:val="nil"/>
                  </w:tcBorders>
                  <w:noWrap w:val="0"/>
                  <w:vAlign w:val="center"/>
                </w:tcPr>
                <w:p w14:paraId="35D7F9C3">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olor w:val="auto"/>
                      <w:sz w:val="21"/>
                      <w:szCs w:val="21"/>
                      <w:lang w:eastAsia="zh-CN"/>
                    </w:rPr>
                    <w:t>环卫部门</w:t>
                  </w:r>
                  <w:r>
                    <w:rPr>
                      <w:rFonts w:hint="eastAsia" w:cs="Times New Roman"/>
                      <w:color w:val="auto"/>
                      <w:sz w:val="21"/>
                      <w:szCs w:val="21"/>
                      <w:lang w:eastAsia="zh-CN"/>
                    </w:rPr>
                    <w:t>清运</w:t>
                  </w:r>
                </w:p>
              </w:tc>
              <w:tc>
                <w:tcPr>
                  <w:tcW w:w="408" w:type="pct"/>
                  <w:tcBorders>
                    <w:tl2br w:val="nil"/>
                    <w:tr2bl w:val="nil"/>
                  </w:tcBorders>
                  <w:noWrap w:val="0"/>
                  <w:vAlign w:val="center"/>
                </w:tcPr>
                <w:p w14:paraId="1C59347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2.25</w:t>
                  </w:r>
                  <w:r>
                    <w:rPr>
                      <w:rFonts w:hint="default" w:ascii="Times New Roman" w:hAnsi="Times New Roman" w:cs="Times New Roman"/>
                      <w:color w:val="auto"/>
                      <w:sz w:val="21"/>
                      <w:szCs w:val="21"/>
                    </w:rPr>
                    <w:t>t/a</w:t>
                  </w:r>
                </w:p>
              </w:tc>
              <w:tc>
                <w:tcPr>
                  <w:tcW w:w="471" w:type="pct"/>
                  <w:tcBorders>
                    <w:tl2br w:val="nil"/>
                    <w:tr2bl w:val="nil"/>
                  </w:tcBorders>
                  <w:noWrap w:val="0"/>
                  <w:vAlign w:val="center"/>
                </w:tcPr>
                <w:p w14:paraId="022D8E7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分类收集，集中存放</w:t>
                  </w:r>
                </w:p>
              </w:tc>
            </w:tr>
          </w:tbl>
          <w:p w14:paraId="1E6EDB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eastAsia" w:ascii="宋体" w:hAnsi="宋体" w:eastAsia="宋体"/>
                <w:color w:val="auto"/>
                <w:sz w:val="24"/>
                <w:szCs w:val="24"/>
              </w:rPr>
              <w:t>本次评价要求应设置具有“三防”（防扬散，防流失，防渗漏）措施的</w:t>
            </w:r>
            <w:r>
              <w:rPr>
                <w:rFonts w:hint="eastAsia" w:ascii="宋体" w:hAnsi="宋体"/>
                <w:color w:val="auto"/>
                <w:sz w:val="24"/>
                <w:szCs w:val="24"/>
                <w:lang w:val="en-US" w:eastAsia="zh-CN"/>
              </w:rPr>
              <w:t>一般固废</w:t>
            </w:r>
            <w:r>
              <w:rPr>
                <w:rFonts w:hint="default" w:ascii="Times New Roman" w:hAnsi="Times New Roman" w:eastAsia="宋体" w:cs="Times New Roman"/>
                <w:color w:val="auto"/>
                <w:sz w:val="24"/>
                <w:szCs w:val="24"/>
                <w:lang w:val="en-US" w:eastAsia="zh-CN"/>
              </w:rPr>
              <w:t>暂存间和</w:t>
            </w:r>
            <w:r>
              <w:rPr>
                <w:rFonts w:hint="default" w:ascii="Times New Roman" w:hAnsi="Times New Roman" w:eastAsia="宋体" w:cs="Times New Roman"/>
                <w:color w:val="auto"/>
                <w:sz w:val="24"/>
                <w:szCs w:val="24"/>
              </w:rPr>
              <w:t>危险废物暂存间，一般工业固废的暂存场所</w:t>
            </w:r>
            <w:r>
              <w:rPr>
                <w:rFonts w:hint="default" w:ascii="Times New Roman" w:hAnsi="Times New Roman" w:eastAsia="宋体" w:cs="Times New Roman"/>
                <w:color w:val="auto"/>
                <w:sz w:val="24"/>
                <w:szCs w:val="24"/>
                <w:lang w:val="en-US" w:eastAsia="zh-CN"/>
              </w:rPr>
              <w:t>设立在车间北侧，面积120</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rPr>
              <w:t>需按照</w:t>
            </w:r>
            <w:r>
              <w:rPr>
                <w:rFonts w:hint="default" w:ascii="Times New Roman" w:hAnsi="Times New Roman" w:cs="Times New Roman"/>
                <w:color w:val="auto"/>
                <w:sz w:val="24"/>
                <w:lang w:val="en-US" w:eastAsia="zh-CN"/>
              </w:rPr>
              <w:t>《一般工业固体废物贮存和填埋污染控制标准》（GB18599-2020）</w:t>
            </w:r>
            <w:r>
              <w:rPr>
                <w:rFonts w:hint="default" w:ascii="Times New Roman" w:hAnsi="Times New Roman" w:cs="Times New Roman"/>
                <w:color w:val="auto"/>
                <w:sz w:val="24"/>
                <w:szCs w:val="24"/>
              </w:rPr>
              <w:t>要求建设</w:t>
            </w:r>
            <w:r>
              <w:rPr>
                <w:rFonts w:hint="default" w:ascii="Times New Roman" w:hAnsi="Times New Roman" w:cs="Times New Roman"/>
                <w:color w:val="auto"/>
                <w:sz w:val="24"/>
                <w:szCs w:val="24"/>
                <w:lang w:val="en-US" w:eastAsia="zh-CN"/>
              </w:rPr>
              <w:t>且满足相关台账管理要求</w:t>
            </w:r>
            <w:r>
              <w:rPr>
                <w:rFonts w:hint="default" w:ascii="Times New Roman" w:hAnsi="Times New Roman" w:cs="Times New Roman"/>
                <w:color w:val="auto"/>
                <w:sz w:val="24"/>
                <w:szCs w:val="24"/>
              </w:rPr>
              <w:t>，具体要求如下：</w:t>
            </w:r>
          </w:p>
          <w:p w14:paraId="2C762E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（1）贮存、处置场的建设类型，须与将要堆放的一般工业固体废物类别相一致。</w:t>
            </w:r>
          </w:p>
          <w:p w14:paraId="282F1F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（2）贮存、处置场应采取防止粉尘污染的措施。</w:t>
            </w:r>
          </w:p>
          <w:p w14:paraId="0E7B62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（3）为防止雨水径流进入贮存、处置场内，避免渗滤液量增加和滑坡，贮存、处置场周边应设置导流渠。</w:t>
            </w:r>
          </w:p>
          <w:p w14:paraId="5F9F19A6">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（4）为保障设施、设备正常运营，必要时应采取措施防止地基下沉，尤其是防止不均匀或局部下沉。</w:t>
            </w:r>
          </w:p>
          <w:p w14:paraId="44BEBACF">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危险废物暂存间</w:t>
            </w:r>
            <w:r>
              <w:rPr>
                <w:rFonts w:hint="default" w:ascii="Times New Roman" w:hAnsi="Times New Roman" w:cs="Times New Roman"/>
                <w:color w:val="auto"/>
                <w:sz w:val="24"/>
                <w:szCs w:val="24"/>
                <w:lang w:val="en-US" w:eastAsia="zh-CN"/>
              </w:rPr>
              <w:t>位于中空玻璃生产线西侧</w:t>
            </w:r>
            <w:r>
              <w:rPr>
                <w:rFonts w:hint="default" w:ascii="Times New Roman" w:hAnsi="Times New Roman" w:eastAsia="宋体" w:cs="Times New Roman"/>
                <w:color w:val="auto"/>
                <w:sz w:val="24"/>
                <w:szCs w:val="24"/>
              </w:rPr>
              <w:t>，面积</w:t>
            </w:r>
            <w:r>
              <w:rPr>
                <w:rFonts w:hint="default" w:ascii="Times New Roman" w:hAnsi="Times New Roman" w:cs="Times New Roman"/>
                <w:color w:val="auto"/>
                <w:sz w:val="24"/>
                <w:szCs w:val="24"/>
                <w:lang w:val="en-US" w:eastAsia="zh-CN"/>
              </w:rPr>
              <w:t>40</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，该危废暂存场所应做好防渗漏等措施，并满足</w:t>
            </w:r>
            <w:r>
              <w:rPr>
                <w:rFonts w:hint="default" w:ascii="Times New Roman" w:hAnsi="Times New Roman" w:eastAsia="宋体" w:cs="Times New Roman"/>
                <w:color w:val="auto"/>
                <w:sz w:val="24"/>
                <w:szCs w:val="24"/>
                <w:lang w:val="en-GB" w:eastAsia="zh-CN"/>
              </w:rPr>
              <w:t>《危险废物贮存污染控制标准》（GB18597-2023）</w:t>
            </w:r>
            <w:r>
              <w:rPr>
                <w:rFonts w:hint="default" w:ascii="Times New Roman" w:hAnsi="Times New Roman" w:eastAsia="宋体" w:cs="Times New Roman"/>
                <w:color w:val="auto"/>
                <w:sz w:val="24"/>
                <w:szCs w:val="24"/>
                <w:lang w:val="en-GB"/>
              </w:rPr>
              <w:t>中相关</w:t>
            </w:r>
            <w:r>
              <w:rPr>
                <w:rFonts w:hint="default" w:ascii="Times New Roman" w:hAnsi="Times New Roman" w:eastAsia="宋体" w:cs="Times New Roman"/>
                <w:color w:val="auto"/>
                <w:sz w:val="24"/>
                <w:szCs w:val="24"/>
              </w:rPr>
              <w:t>要求，危废统一收集暂存，最终由有资质单位回收处置。</w:t>
            </w:r>
          </w:p>
          <w:p w14:paraId="4F418A9C">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rPr>
              <w:t>按照危险废物管理要求，厂内对危险废物进行临时贮存，转移严格按照《危险废物收集、贮存、运输技术规范》（HJ2025-2012）中相关规定，危险废物</w:t>
            </w:r>
            <w:r>
              <w:rPr>
                <w:rFonts w:hint="default" w:ascii="Times New Roman" w:hAnsi="Times New Roman" w:cs="Times New Roman"/>
                <w:color w:val="auto"/>
                <w:sz w:val="24"/>
              </w:rPr>
              <w:t>临时贮存期间应满足</w:t>
            </w:r>
            <w:r>
              <w:rPr>
                <w:rFonts w:hint="default" w:ascii="Times New Roman" w:hAnsi="Times New Roman" w:eastAsia="宋体" w:cs="Times New Roman"/>
                <w:color w:val="auto"/>
                <w:sz w:val="24"/>
                <w:szCs w:val="24"/>
                <w:lang w:val="en-GB" w:eastAsia="zh-CN"/>
              </w:rPr>
              <w:t>《危险废物贮存污染控制标准》（GB18597-2023）</w:t>
            </w:r>
            <w:r>
              <w:rPr>
                <w:rFonts w:hint="default" w:ascii="Times New Roman" w:hAnsi="Times New Roman" w:eastAsia="宋体" w:cs="Times New Roman"/>
                <w:color w:val="auto"/>
                <w:sz w:val="24"/>
                <w:szCs w:val="24"/>
                <w:lang w:val="en-GB"/>
              </w:rPr>
              <w:t>中</w:t>
            </w:r>
            <w:r>
              <w:rPr>
                <w:rFonts w:hint="default" w:ascii="Times New Roman" w:hAnsi="Times New Roman" w:cs="Times New Roman"/>
                <w:color w:val="auto"/>
                <w:sz w:val="24"/>
              </w:rPr>
              <w:t>对危险废物贮存设施的要求，严禁将危险废物混入非危险废物中。</w:t>
            </w:r>
          </w:p>
          <w:p w14:paraId="46FABB74">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危险废物的贮存设施应满足以下要求：</w:t>
            </w:r>
          </w:p>
          <w:p w14:paraId="5FE30DBE">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rPr>
              <w:t>①</w:t>
            </w:r>
            <w:r>
              <w:rPr>
                <w:rFonts w:hint="default" w:ascii="Times New Roman" w:hAnsi="Times New Roman" w:cs="Times New Roman"/>
                <w:color w:val="auto"/>
                <w:sz w:val="24"/>
              </w:rPr>
              <w:t>应建有堵截泄漏的裙脚，地面与裙脚要用坚固防渗的材料建造。应有隔离设施、报警装置和防风、防晒、防雨设施；</w:t>
            </w:r>
          </w:p>
          <w:p w14:paraId="2B007146">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rPr>
              <w:t>②</w:t>
            </w:r>
            <w:r>
              <w:rPr>
                <w:rFonts w:hint="default" w:ascii="Times New Roman" w:hAnsi="Times New Roman" w:cs="Times New Roman"/>
                <w:color w:val="auto"/>
                <w:sz w:val="24"/>
              </w:rPr>
              <w:t>基础必须防渗，防渗层为至少1m厚粘土层，渗透系数≤1.0×10</w:t>
            </w:r>
            <w:r>
              <w:rPr>
                <w:rFonts w:hint="default" w:ascii="Times New Roman" w:hAnsi="Times New Roman" w:cs="Times New Roman"/>
                <w:color w:val="auto"/>
                <w:sz w:val="24"/>
                <w:vertAlign w:val="superscript"/>
              </w:rPr>
              <w:t>-7</w:t>
            </w:r>
            <w:r>
              <w:rPr>
                <w:rFonts w:hint="default" w:ascii="Times New Roman" w:hAnsi="Times New Roman" w:cs="Times New Roman"/>
                <w:color w:val="auto"/>
                <w:sz w:val="24"/>
              </w:rPr>
              <w:t>cm/s，或2mm厚高密度聚乙烯，或至少2mm厚的其它人工材料，渗透系数≤1.0×10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w:t>
            </w:r>
          </w:p>
          <w:p w14:paraId="7D5C752A">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rPr>
              <w:t>③</w:t>
            </w:r>
            <w:r>
              <w:rPr>
                <w:rFonts w:hint="default" w:ascii="Times New Roman" w:hAnsi="Times New Roman" w:cs="Times New Roman"/>
                <w:color w:val="auto"/>
                <w:sz w:val="24"/>
              </w:rPr>
              <w:t>用于存放液体、半固体危险废物的地方，还须有耐腐蚀的硬化地面，地面无裂隙；</w:t>
            </w:r>
          </w:p>
          <w:p w14:paraId="519C1AF0">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rPr>
              <w:t>④</w:t>
            </w:r>
            <w:r>
              <w:rPr>
                <w:rFonts w:hint="default" w:ascii="Times New Roman" w:hAnsi="Times New Roman" w:cs="Times New Roman"/>
                <w:color w:val="auto"/>
                <w:sz w:val="24"/>
              </w:rPr>
              <w:t>危险废物的贮存场所需设置警示牌，对不相容的危险废物堆放区必须有隔离间隔断；</w:t>
            </w:r>
          </w:p>
          <w:p w14:paraId="0B0037F4">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eastAsia="宋体" w:cs="Times New Roman"/>
                <w:color w:val="auto"/>
                <w:sz w:val="24"/>
                <w:lang w:val="en-US" w:eastAsia="zh-CN"/>
              </w:rPr>
            </w:pPr>
            <w:r>
              <w:rPr>
                <w:rFonts w:hint="eastAsia" w:ascii="宋体" w:hAnsi="宋体" w:eastAsia="宋体" w:cs="宋体"/>
                <w:color w:val="auto"/>
                <w:sz w:val="24"/>
                <w:lang w:val="en-US" w:eastAsia="zh-CN"/>
              </w:rPr>
              <w:t>⑤</w:t>
            </w:r>
            <w:r>
              <w:rPr>
                <w:rFonts w:hint="eastAsia" w:cs="Times New Roman"/>
                <w:color w:val="auto"/>
                <w:sz w:val="24"/>
                <w:lang w:val="en-US" w:eastAsia="zh-CN"/>
              </w:rPr>
              <w:t>危废暂存间为密闭，设置排气筒，将危废暂存间挥发的VOCs气体，引入施胶废气处理设备，经二级活性炭处理后排放，本项目危废暂存间VOCs气体为废胶桶以及废矿物油暂存产生，产生量很小，不进行定量分析。</w:t>
            </w:r>
          </w:p>
          <w:p w14:paraId="23D527A7">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lang w:val="en-US" w:eastAsia="zh-CN"/>
              </w:rPr>
              <w:t>⑥</w:t>
            </w:r>
            <w:r>
              <w:rPr>
                <w:rFonts w:hint="default" w:ascii="Times New Roman" w:hAnsi="Times New Roman" w:cs="Times New Roman"/>
                <w:color w:val="auto"/>
                <w:sz w:val="24"/>
              </w:rPr>
              <w:t>危险废物的贮存设施的选址与设计、运行与管理、安全防护、环境监测及应急措施、以及关闭等须遵循《危险废物贮存污染控制标准》的规定。</w:t>
            </w:r>
          </w:p>
          <w:p w14:paraId="1640586A">
            <w:pPr>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default" w:ascii="Times New Roman" w:hAnsi="Times New Roman" w:cs="Times New Roman"/>
                <w:color w:val="auto"/>
                <w:sz w:val="24"/>
              </w:rPr>
            </w:pPr>
            <w:r>
              <w:rPr>
                <w:rFonts w:hint="eastAsia" w:ascii="宋体" w:hAnsi="宋体" w:eastAsia="宋体" w:cs="宋体"/>
                <w:color w:val="auto"/>
                <w:sz w:val="24"/>
                <w:lang w:val="en-US" w:eastAsia="zh-CN"/>
              </w:rPr>
              <w:t>⑦</w:t>
            </w:r>
            <w:r>
              <w:rPr>
                <w:rFonts w:hint="default" w:ascii="Times New Roman" w:hAnsi="Times New Roman" w:cs="Times New Roman"/>
                <w:color w:val="auto"/>
                <w:sz w:val="24"/>
              </w:rPr>
              <w:t>企业按照《危险废物管理计划和管理台账制定技术导则》（HJ 1259</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rPr>
              <w:t>2022）的要求做好危险废物计划和危险废物台帐。</w:t>
            </w:r>
          </w:p>
          <w:p w14:paraId="7EA6DA54">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pPr>
            <w:r>
              <w:rPr>
                <w:rFonts w:hint="eastAsia"/>
              </w:rPr>
              <w:t>危险废物贮存场所基本情况见下表：</w:t>
            </w:r>
          </w:p>
          <w:p w14:paraId="1277BBAC">
            <w:pPr>
              <w:pStyle w:val="84"/>
            </w:pPr>
            <w:r>
              <w:rPr>
                <w:rFonts w:hint="eastAsia"/>
                <w:sz w:val="21"/>
                <w:szCs w:val="21"/>
              </w:rPr>
              <w:t>表4-10   危险废物贮存基本情况表</w:t>
            </w:r>
          </w:p>
          <w:tbl>
            <w:tblPr>
              <w:tblStyle w:val="2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03"/>
              <w:gridCol w:w="881"/>
              <w:gridCol w:w="901"/>
              <w:gridCol w:w="1227"/>
              <w:gridCol w:w="814"/>
              <w:gridCol w:w="1075"/>
              <w:gridCol w:w="1075"/>
              <w:gridCol w:w="948"/>
            </w:tblGrid>
            <w:tr w14:paraId="04DCEB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pct"/>
                  <w:tcBorders>
                    <w:tl2br w:val="nil"/>
                    <w:tr2bl w:val="nil"/>
                  </w:tcBorders>
                  <w:vAlign w:val="center"/>
                </w:tcPr>
                <w:p w14:paraId="56F8047E">
                  <w:pPr>
                    <w:pStyle w:val="82"/>
                    <w:rPr>
                      <w:b/>
                    </w:rPr>
                  </w:pPr>
                  <w:r>
                    <w:rPr>
                      <w:rFonts w:hint="eastAsia"/>
                      <w:b/>
                    </w:rPr>
                    <w:t>序号</w:t>
                  </w:r>
                </w:p>
              </w:tc>
              <w:tc>
                <w:tcPr>
                  <w:tcW w:w="535" w:type="pct"/>
                  <w:tcBorders>
                    <w:tl2br w:val="nil"/>
                    <w:tr2bl w:val="nil"/>
                  </w:tcBorders>
                  <w:vAlign w:val="center"/>
                </w:tcPr>
                <w:p w14:paraId="5CBD08FE">
                  <w:pPr>
                    <w:pStyle w:val="82"/>
                    <w:rPr>
                      <w:b/>
                    </w:rPr>
                  </w:pPr>
                  <w:r>
                    <w:rPr>
                      <w:rFonts w:hint="eastAsia"/>
                      <w:b/>
                    </w:rPr>
                    <w:t>贮存场</w:t>
                  </w:r>
                </w:p>
                <w:p w14:paraId="61C27959">
                  <w:pPr>
                    <w:pStyle w:val="82"/>
                    <w:rPr>
                      <w:b/>
                    </w:rPr>
                  </w:pPr>
                  <w:r>
                    <w:rPr>
                      <w:rFonts w:hint="eastAsia"/>
                      <w:b/>
                    </w:rPr>
                    <w:t>所名称</w:t>
                  </w:r>
                </w:p>
              </w:tc>
              <w:tc>
                <w:tcPr>
                  <w:tcW w:w="522" w:type="pct"/>
                  <w:tcBorders>
                    <w:tl2br w:val="nil"/>
                    <w:tr2bl w:val="nil"/>
                  </w:tcBorders>
                  <w:vAlign w:val="center"/>
                </w:tcPr>
                <w:p w14:paraId="506FB972">
                  <w:pPr>
                    <w:pStyle w:val="82"/>
                    <w:rPr>
                      <w:b/>
                    </w:rPr>
                  </w:pPr>
                  <w:r>
                    <w:rPr>
                      <w:rFonts w:hint="eastAsia"/>
                      <w:b/>
                    </w:rPr>
                    <w:t>危险废物名称</w:t>
                  </w:r>
                </w:p>
              </w:tc>
              <w:tc>
                <w:tcPr>
                  <w:tcW w:w="534" w:type="pct"/>
                  <w:tcBorders>
                    <w:tl2br w:val="nil"/>
                    <w:tr2bl w:val="nil"/>
                  </w:tcBorders>
                  <w:vAlign w:val="center"/>
                </w:tcPr>
                <w:p w14:paraId="3B67CE6D">
                  <w:pPr>
                    <w:pStyle w:val="82"/>
                    <w:rPr>
                      <w:b/>
                    </w:rPr>
                  </w:pPr>
                  <w:r>
                    <w:rPr>
                      <w:rFonts w:hint="eastAsia"/>
                      <w:b/>
                    </w:rPr>
                    <w:t>危险废物类别</w:t>
                  </w:r>
                </w:p>
              </w:tc>
              <w:tc>
                <w:tcPr>
                  <w:tcW w:w="727" w:type="pct"/>
                  <w:tcBorders>
                    <w:tl2br w:val="nil"/>
                    <w:tr2bl w:val="nil"/>
                  </w:tcBorders>
                  <w:vAlign w:val="center"/>
                </w:tcPr>
                <w:p w14:paraId="730D298E">
                  <w:pPr>
                    <w:pStyle w:val="82"/>
                    <w:rPr>
                      <w:b/>
                    </w:rPr>
                  </w:pPr>
                  <w:r>
                    <w:rPr>
                      <w:rFonts w:hint="eastAsia"/>
                      <w:b/>
                    </w:rPr>
                    <w:t>危废代码</w:t>
                  </w:r>
                </w:p>
              </w:tc>
              <w:tc>
                <w:tcPr>
                  <w:tcW w:w="482" w:type="pct"/>
                  <w:tcBorders>
                    <w:tl2br w:val="nil"/>
                    <w:tr2bl w:val="nil"/>
                  </w:tcBorders>
                  <w:vAlign w:val="center"/>
                </w:tcPr>
                <w:p w14:paraId="0588353F">
                  <w:pPr>
                    <w:pStyle w:val="82"/>
                    <w:rPr>
                      <w:b/>
                    </w:rPr>
                  </w:pPr>
                  <w:r>
                    <w:rPr>
                      <w:rFonts w:hint="eastAsia"/>
                      <w:b/>
                    </w:rPr>
                    <w:t>位置</w:t>
                  </w:r>
                </w:p>
              </w:tc>
              <w:tc>
                <w:tcPr>
                  <w:tcW w:w="637" w:type="pct"/>
                  <w:tcBorders>
                    <w:tl2br w:val="nil"/>
                    <w:tr2bl w:val="nil"/>
                  </w:tcBorders>
                  <w:vAlign w:val="center"/>
                </w:tcPr>
                <w:p w14:paraId="55095244">
                  <w:pPr>
                    <w:pStyle w:val="82"/>
                    <w:rPr>
                      <w:b/>
                    </w:rPr>
                  </w:pPr>
                  <w:r>
                    <w:rPr>
                      <w:rFonts w:hint="eastAsia"/>
                      <w:b/>
                    </w:rPr>
                    <w:t>占地面积</w:t>
                  </w:r>
                </w:p>
              </w:tc>
              <w:tc>
                <w:tcPr>
                  <w:tcW w:w="637" w:type="pct"/>
                  <w:tcBorders>
                    <w:tl2br w:val="nil"/>
                    <w:tr2bl w:val="nil"/>
                  </w:tcBorders>
                  <w:vAlign w:val="center"/>
                </w:tcPr>
                <w:p w14:paraId="6CA912A8">
                  <w:pPr>
                    <w:pStyle w:val="82"/>
                    <w:rPr>
                      <w:b/>
                    </w:rPr>
                  </w:pPr>
                  <w:r>
                    <w:rPr>
                      <w:rFonts w:hint="eastAsia"/>
                      <w:b/>
                    </w:rPr>
                    <w:t>贮存方式</w:t>
                  </w:r>
                </w:p>
              </w:tc>
              <w:tc>
                <w:tcPr>
                  <w:tcW w:w="561" w:type="pct"/>
                  <w:tcBorders>
                    <w:tl2br w:val="nil"/>
                    <w:tr2bl w:val="nil"/>
                  </w:tcBorders>
                  <w:vAlign w:val="center"/>
                </w:tcPr>
                <w:p w14:paraId="0A5F4943">
                  <w:pPr>
                    <w:pStyle w:val="82"/>
                    <w:rPr>
                      <w:b/>
                    </w:rPr>
                  </w:pPr>
                  <w:r>
                    <w:rPr>
                      <w:rFonts w:hint="eastAsia"/>
                      <w:b/>
                    </w:rPr>
                    <w:t>贮存周期</w:t>
                  </w:r>
                </w:p>
              </w:tc>
            </w:tr>
            <w:tr w14:paraId="571D83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pct"/>
                  <w:tcBorders>
                    <w:tl2br w:val="nil"/>
                    <w:tr2bl w:val="nil"/>
                  </w:tcBorders>
                  <w:vAlign w:val="center"/>
                </w:tcPr>
                <w:p w14:paraId="4C047397">
                  <w:pPr>
                    <w:pStyle w:val="82"/>
                  </w:pPr>
                  <w:r>
                    <w:rPr>
                      <w:rFonts w:hint="eastAsia"/>
                    </w:rPr>
                    <w:t>1</w:t>
                  </w:r>
                </w:p>
              </w:tc>
              <w:tc>
                <w:tcPr>
                  <w:tcW w:w="535" w:type="pct"/>
                  <w:vMerge w:val="restart"/>
                  <w:tcBorders>
                    <w:tl2br w:val="nil"/>
                    <w:tr2bl w:val="nil"/>
                  </w:tcBorders>
                  <w:vAlign w:val="center"/>
                </w:tcPr>
                <w:p w14:paraId="1EDFF790">
                  <w:pPr>
                    <w:pStyle w:val="82"/>
                  </w:pPr>
                  <w:r>
                    <w:rPr>
                      <w:rFonts w:hint="eastAsia"/>
                    </w:rPr>
                    <w:t>危废</w:t>
                  </w:r>
                </w:p>
                <w:p w14:paraId="5E37B573">
                  <w:pPr>
                    <w:pStyle w:val="82"/>
                  </w:pPr>
                  <w:r>
                    <w:rPr>
                      <w:rFonts w:hint="eastAsia"/>
                    </w:rPr>
                    <w:t>暂存间</w:t>
                  </w:r>
                </w:p>
              </w:tc>
              <w:tc>
                <w:tcPr>
                  <w:tcW w:w="522" w:type="pct"/>
                  <w:tcBorders>
                    <w:tl2br w:val="nil"/>
                    <w:tr2bl w:val="nil"/>
                  </w:tcBorders>
                  <w:vAlign w:val="center"/>
                </w:tcPr>
                <w:p w14:paraId="57A69E2F">
                  <w:pPr>
                    <w:pStyle w:val="82"/>
                  </w:pPr>
                  <w:r>
                    <w:rPr>
                      <w:rFonts w:hint="eastAsia"/>
                    </w:rPr>
                    <w:t>废</w:t>
                  </w:r>
                  <w:r>
                    <w:rPr>
                      <w:rFonts w:hint="eastAsia"/>
                      <w:lang w:eastAsia="zh-CN"/>
                    </w:rPr>
                    <w:t>胶</w:t>
                  </w:r>
                  <w:r>
                    <w:rPr>
                      <w:rFonts w:hint="eastAsia"/>
                    </w:rPr>
                    <w:t>桶</w:t>
                  </w:r>
                </w:p>
              </w:tc>
              <w:tc>
                <w:tcPr>
                  <w:tcW w:w="534" w:type="pct"/>
                  <w:tcBorders>
                    <w:tl2br w:val="nil"/>
                    <w:tr2bl w:val="nil"/>
                  </w:tcBorders>
                  <w:vAlign w:val="center"/>
                </w:tcPr>
                <w:p w14:paraId="248E8F32">
                  <w:pPr>
                    <w:pStyle w:val="82"/>
                  </w:pPr>
                  <w:r>
                    <w:rPr>
                      <w:rFonts w:hint="eastAsia"/>
                    </w:rPr>
                    <w:t>HW49</w:t>
                  </w:r>
                </w:p>
              </w:tc>
              <w:tc>
                <w:tcPr>
                  <w:tcW w:w="727" w:type="pct"/>
                  <w:tcBorders>
                    <w:tl2br w:val="nil"/>
                    <w:tr2bl w:val="nil"/>
                  </w:tcBorders>
                  <w:vAlign w:val="center"/>
                </w:tcPr>
                <w:p w14:paraId="4BC2570D">
                  <w:pPr>
                    <w:pStyle w:val="82"/>
                  </w:pPr>
                  <w:r>
                    <w:rPr>
                      <w:rFonts w:hint="eastAsia"/>
                    </w:rPr>
                    <w:t>900-041-49</w:t>
                  </w:r>
                </w:p>
              </w:tc>
              <w:tc>
                <w:tcPr>
                  <w:tcW w:w="482" w:type="pct"/>
                  <w:vMerge w:val="restart"/>
                  <w:tcBorders>
                    <w:tl2br w:val="nil"/>
                    <w:tr2bl w:val="nil"/>
                  </w:tcBorders>
                  <w:vAlign w:val="center"/>
                </w:tcPr>
                <w:p w14:paraId="4EC28366">
                  <w:pPr>
                    <w:pStyle w:val="82"/>
                  </w:pPr>
                  <w:r>
                    <w:rPr>
                      <w:rFonts w:hint="eastAsia"/>
                      <w:lang w:eastAsia="zh-CN"/>
                    </w:rPr>
                    <w:t>中空车间</w:t>
                  </w:r>
                  <w:r>
                    <w:rPr>
                      <w:rFonts w:hint="eastAsia"/>
                    </w:rPr>
                    <w:t>隔断</w:t>
                  </w:r>
                </w:p>
              </w:tc>
              <w:tc>
                <w:tcPr>
                  <w:tcW w:w="637" w:type="pct"/>
                  <w:vMerge w:val="restart"/>
                  <w:tcBorders>
                    <w:tl2br w:val="nil"/>
                    <w:tr2bl w:val="nil"/>
                  </w:tcBorders>
                  <w:vAlign w:val="center"/>
                </w:tcPr>
                <w:p w14:paraId="1576DA9C">
                  <w:pPr>
                    <w:pStyle w:val="82"/>
                    <w:rPr>
                      <w:vertAlign w:val="superscript"/>
                    </w:rPr>
                  </w:pPr>
                  <w:r>
                    <w:rPr>
                      <w:rFonts w:hint="eastAsia"/>
                      <w:lang w:val="en-US" w:eastAsia="zh-CN"/>
                    </w:rPr>
                    <w:t>40</w:t>
                  </w:r>
                  <w:r>
                    <w:rPr>
                      <w:rFonts w:hint="eastAsia"/>
                    </w:rPr>
                    <w:t>m</w:t>
                  </w:r>
                  <w:r>
                    <w:rPr>
                      <w:rFonts w:hint="eastAsia"/>
                      <w:vertAlign w:val="superscript"/>
                    </w:rPr>
                    <w:t>2</w:t>
                  </w:r>
                </w:p>
              </w:tc>
              <w:tc>
                <w:tcPr>
                  <w:tcW w:w="637" w:type="pct"/>
                  <w:tcBorders>
                    <w:tl2br w:val="nil"/>
                    <w:tr2bl w:val="nil"/>
                  </w:tcBorders>
                  <w:vAlign w:val="center"/>
                </w:tcPr>
                <w:p w14:paraId="28D4DC9E">
                  <w:pPr>
                    <w:pStyle w:val="82"/>
                  </w:pPr>
                  <w:r>
                    <w:rPr>
                      <w:rFonts w:hint="eastAsia"/>
                    </w:rPr>
                    <w:t>加盖密封</w:t>
                  </w:r>
                </w:p>
              </w:tc>
              <w:tc>
                <w:tcPr>
                  <w:tcW w:w="561" w:type="pct"/>
                  <w:tcBorders>
                    <w:tl2br w:val="nil"/>
                    <w:tr2bl w:val="nil"/>
                  </w:tcBorders>
                  <w:vAlign w:val="center"/>
                </w:tcPr>
                <w:p w14:paraId="56FE14A6">
                  <w:pPr>
                    <w:pStyle w:val="82"/>
                  </w:pPr>
                  <w:r>
                    <w:rPr>
                      <w:rFonts w:hint="eastAsia"/>
                    </w:rPr>
                    <w:t>≤6个月</w:t>
                  </w:r>
                </w:p>
              </w:tc>
            </w:tr>
            <w:tr w14:paraId="392D48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pct"/>
                  <w:tcBorders>
                    <w:tl2br w:val="nil"/>
                    <w:tr2bl w:val="nil"/>
                  </w:tcBorders>
                  <w:vAlign w:val="center"/>
                </w:tcPr>
                <w:p w14:paraId="18D538F5">
                  <w:pPr>
                    <w:pStyle w:val="82"/>
                  </w:pPr>
                  <w:r>
                    <w:rPr>
                      <w:rFonts w:hint="eastAsia"/>
                    </w:rPr>
                    <w:t>3</w:t>
                  </w:r>
                </w:p>
              </w:tc>
              <w:tc>
                <w:tcPr>
                  <w:tcW w:w="535" w:type="pct"/>
                  <w:vMerge w:val="continue"/>
                  <w:tcBorders>
                    <w:tl2br w:val="nil"/>
                    <w:tr2bl w:val="nil"/>
                  </w:tcBorders>
                  <w:vAlign w:val="center"/>
                </w:tcPr>
                <w:p w14:paraId="4EC6DC39">
                  <w:pPr>
                    <w:pStyle w:val="82"/>
                  </w:pPr>
                </w:p>
              </w:tc>
              <w:tc>
                <w:tcPr>
                  <w:tcW w:w="522" w:type="pct"/>
                  <w:tcBorders>
                    <w:tl2br w:val="nil"/>
                    <w:tr2bl w:val="nil"/>
                  </w:tcBorders>
                  <w:vAlign w:val="center"/>
                </w:tcPr>
                <w:p w14:paraId="5562186D">
                  <w:pPr>
                    <w:pStyle w:val="82"/>
                  </w:pPr>
                  <w:r>
                    <w:rPr>
                      <w:rFonts w:hint="eastAsia"/>
                    </w:rPr>
                    <w:t>废活</w:t>
                  </w:r>
                </w:p>
                <w:p w14:paraId="37206A48">
                  <w:pPr>
                    <w:pStyle w:val="82"/>
                  </w:pPr>
                  <w:r>
                    <w:rPr>
                      <w:rFonts w:hint="eastAsia"/>
                    </w:rPr>
                    <w:t>性炭</w:t>
                  </w:r>
                </w:p>
              </w:tc>
              <w:tc>
                <w:tcPr>
                  <w:tcW w:w="534" w:type="pct"/>
                  <w:tcBorders>
                    <w:tl2br w:val="nil"/>
                    <w:tr2bl w:val="nil"/>
                  </w:tcBorders>
                  <w:vAlign w:val="center"/>
                </w:tcPr>
                <w:p w14:paraId="7DFBCAEE">
                  <w:pPr>
                    <w:pStyle w:val="82"/>
                  </w:pPr>
                  <w:r>
                    <w:t>HW49</w:t>
                  </w:r>
                </w:p>
              </w:tc>
              <w:tc>
                <w:tcPr>
                  <w:tcW w:w="727" w:type="pct"/>
                  <w:tcBorders>
                    <w:tl2br w:val="nil"/>
                    <w:tr2bl w:val="nil"/>
                  </w:tcBorders>
                  <w:vAlign w:val="center"/>
                </w:tcPr>
                <w:p w14:paraId="1993A8E4">
                  <w:pPr>
                    <w:pStyle w:val="82"/>
                  </w:pPr>
                  <w:r>
                    <w:t>900-039-49</w:t>
                  </w:r>
                </w:p>
              </w:tc>
              <w:tc>
                <w:tcPr>
                  <w:tcW w:w="482" w:type="pct"/>
                  <w:vMerge w:val="continue"/>
                  <w:tcBorders>
                    <w:tl2br w:val="nil"/>
                    <w:tr2bl w:val="nil"/>
                  </w:tcBorders>
                  <w:vAlign w:val="center"/>
                </w:tcPr>
                <w:p w14:paraId="308B8CEF">
                  <w:pPr>
                    <w:pStyle w:val="82"/>
                  </w:pPr>
                </w:p>
              </w:tc>
              <w:tc>
                <w:tcPr>
                  <w:tcW w:w="637" w:type="pct"/>
                  <w:vMerge w:val="continue"/>
                  <w:tcBorders>
                    <w:tl2br w:val="nil"/>
                    <w:tr2bl w:val="nil"/>
                  </w:tcBorders>
                  <w:vAlign w:val="center"/>
                </w:tcPr>
                <w:p w14:paraId="60C3A985">
                  <w:pPr>
                    <w:pStyle w:val="82"/>
                  </w:pPr>
                </w:p>
              </w:tc>
              <w:tc>
                <w:tcPr>
                  <w:tcW w:w="637" w:type="pct"/>
                  <w:tcBorders>
                    <w:tl2br w:val="nil"/>
                    <w:tr2bl w:val="nil"/>
                  </w:tcBorders>
                  <w:vAlign w:val="center"/>
                </w:tcPr>
                <w:p w14:paraId="31FA46DF">
                  <w:pPr>
                    <w:pStyle w:val="82"/>
                  </w:pPr>
                  <w:r>
                    <w:rPr>
                      <w:spacing w:val="3"/>
                    </w:rPr>
                    <w:t>桶装</w:t>
                  </w:r>
                </w:p>
              </w:tc>
              <w:tc>
                <w:tcPr>
                  <w:tcW w:w="561" w:type="pct"/>
                  <w:tcBorders>
                    <w:tl2br w:val="nil"/>
                    <w:tr2bl w:val="nil"/>
                  </w:tcBorders>
                  <w:vAlign w:val="center"/>
                </w:tcPr>
                <w:p w14:paraId="1DF9C104">
                  <w:pPr>
                    <w:pStyle w:val="82"/>
                  </w:pPr>
                  <w:r>
                    <w:rPr>
                      <w:rFonts w:hint="eastAsia"/>
                    </w:rPr>
                    <w:t>≤1年</w:t>
                  </w:r>
                </w:p>
              </w:tc>
            </w:tr>
            <w:tr w14:paraId="2FD0F8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 w:type="pct"/>
                  <w:tcBorders>
                    <w:tl2br w:val="nil"/>
                    <w:tr2bl w:val="nil"/>
                  </w:tcBorders>
                  <w:vAlign w:val="center"/>
                </w:tcPr>
                <w:p w14:paraId="4F68A233">
                  <w:pPr>
                    <w:pStyle w:val="82"/>
                  </w:pPr>
                  <w:r>
                    <w:rPr>
                      <w:rFonts w:hint="eastAsia"/>
                    </w:rPr>
                    <w:t>4</w:t>
                  </w:r>
                </w:p>
              </w:tc>
              <w:tc>
                <w:tcPr>
                  <w:tcW w:w="535" w:type="pct"/>
                  <w:vMerge w:val="continue"/>
                  <w:tcBorders>
                    <w:tl2br w:val="nil"/>
                    <w:tr2bl w:val="nil"/>
                  </w:tcBorders>
                  <w:vAlign w:val="center"/>
                </w:tcPr>
                <w:p w14:paraId="6C60208A">
                  <w:pPr>
                    <w:pStyle w:val="82"/>
                  </w:pPr>
                </w:p>
              </w:tc>
              <w:tc>
                <w:tcPr>
                  <w:tcW w:w="522" w:type="pct"/>
                  <w:tcBorders>
                    <w:tl2br w:val="nil"/>
                    <w:tr2bl w:val="nil"/>
                  </w:tcBorders>
                  <w:vAlign w:val="center"/>
                </w:tcPr>
                <w:p w14:paraId="58E51112">
                  <w:pPr>
                    <w:pStyle w:val="82"/>
                    <w:rPr>
                      <w:rFonts w:hint="eastAsia" w:eastAsia="宋体"/>
                      <w:lang w:eastAsia="zh-CN"/>
                    </w:rPr>
                  </w:pPr>
                  <w:r>
                    <w:rPr>
                      <w:rFonts w:hint="eastAsia"/>
                      <w:lang w:eastAsia="zh-CN"/>
                    </w:rPr>
                    <w:t>废机油</w:t>
                  </w:r>
                </w:p>
              </w:tc>
              <w:tc>
                <w:tcPr>
                  <w:tcW w:w="534" w:type="pct"/>
                  <w:tcBorders>
                    <w:tl2br w:val="nil"/>
                    <w:tr2bl w:val="nil"/>
                  </w:tcBorders>
                  <w:vAlign w:val="center"/>
                </w:tcPr>
                <w:p w14:paraId="09E6CF4A">
                  <w:pPr>
                    <w:pStyle w:val="82"/>
                  </w:pPr>
                  <w:r>
                    <w:rPr>
                      <w:rFonts w:hint="eastAsia"/>
                    </w:rPr>
                    <w:t>HW08</w:t>
                  </w:r>
                </w:p>
              </w:tc>
              <w:tc>
                <w:tcPr>
                  <w:tcW w:w="727" w:type="pct"/>
                  <w:tcBorders>
                    <w:tl2br w:val="nil"/>
                    <w:tr2bl w:val="nil"/>
                  </w:tcBorders>
                  <w:vAlign w:val="center"/>
                </w:tcPr>
                <w:p w14:paraId="7D3C6084">
                  <w:pPr>
                    <w:pStyle w:val="82"/>
                  </w:pPr>
                  <w:r>
                    <w:rPr>
                      <w:rFonts w:hint="eastAsia"/>
                    </w:rPr>
                    <w:t>900-218-08</w:t>
                  </w:r>
                </w:p>
              </w:tc>
              <w:tc>
                <w:tcPr>
                  <w:tcW w:w="482" w:type="pct"/>
                  <w:vMerge w:val="continue"/>
                  <w:tcBorders>
                    <w:tl2br w:val="nil"/>
                    <w:tr2bl w:val="nil"/>
                  </w:tcBorders>
                  <w:vAlign w:val="center"/>
                </w:tcPr>
                <w:p w14:paraId="6B2661C4">
                  <w:pPr>
                    <w:pStyle w:val="82"/>
                  </w:pPr>
                </w:p>
              </w:tc>
              <w:tc>
                <w:tcPr>
                  <w:tcW w:w="637" w:type="pct"/>
                  <w:vMerge w:val="continue"/>
                  <w:tcBorders>
                    <w:tl2br w:val="nil"/>
                    <w:tr2bl w:val="nil"/>
                  </w:tcBorders>
                  <w:vAlign w:val="center"/>
                </w:tcPr>
                <w:p w14:paraId="07DD57F7">
                  <w:pPr>
                    <w:pStyle w:val="82"/>
                  </w:pPr>
                </w:p>
              </w:tc>
              <w:tc>
                <w:tcPr>
                  <w:tcW w:w="637" w:type="pct"/>
                  <w:tcBorders>
                    <w:tl2br w:val="nil"/>
                    <w:tr2bl w:val="nil"/>
                  </w:tcBorders>
                  <w:vAlign w:val="center"/>
                </w:tcPr>
                <w:p w14:paraId="5C218867">
                  <w:pPr>
                    <w:pStyle w:val="82"/>
                  </w:pPr>
                  <w:r>
                    <w:rPr>
                      <w:spacing w:val="3"/>
                    </w:rPr>
                    <w:t>桶装</w:t>
                  </w:r>
                </w:p>
              </w:tc>
              <w:tc>
                <w:tcPr>
                  <w:tcW w:w="561" w:type="pct"/>
                  <w:tcBorders>
                    <w:tl2br w:val="nil"/>
                    <w:tr2bl w:val="nil"/>
                  </w:tcBorders>
                  <w:vAlign w:val="center"/>
                </w:tcPr>
                <w:p w14:paraId="16C050B3">
                  <w:pPr>
                    <w:pStyle w:val="82"/>
                  </w:pPr>
                  <w:r>
                    <w:rPr>
                      <w:rFonts w:hint="eastAsia"/>
                    </w:rPr>
                    <w:t>≤1年</w:t>
                  </w:r>
                </w:p>
              </w:tc>
            </w:tr>
          </w:tbl>
          <w:p w14:paraId="594A55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综上所述，企业需按照上述要求，采取相应的防护措施，所有措施实施后可知后对环境的影响较小。</w:t>
            </w:r>
          </w:p>
          <w:p w14:paraId="11355ED7">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5、地下水、土壤</w:t>
            </w:r>
          </w:p>
          <w:p w14:paraId="52E35FF7">
            <w:pPr>
              <w:pStyle w:val="4"/>
              <w:tabs>
                <w:tab w:val="left" w:pos="574"/>
              </w:tabs>
              <w:spacing w:before="0" w:after="0" w:line="360" w:lineRule="auto"/>
              <w:ind w:firstLine="480" w:firstLineChars="200"/>
              <w:rPr>
                <w:rFonts w:hint="default" w:ascii="Times New Roman" w:hAnsi="Times New Roman" w:eastAsia="宋体" w:cs="Times New Roman"/>
                <w:b w:val="0"/>
                <w:color w:val="auto"/>
                <w:sz w:val="24"/>
                <w:szCs w:val="24"/>
              </w:rPr>
            </w:pPr>
            <w:bookmarkStart w:id="1" w:name="_Toc31990"/>
            <w:bookmarkStart w:id="2" w:name="_Toc22358"/>
            <w:bookmarkStart w:id="3" w:name="_Toc20923"/>
            <w:bookmarkStart w:id="4" w:name="_Toc3342"/>
            <w:r>
              <w:rPr>
                <w:rFonts w:hint="default" w:ascii="Times New Roman" w:hAnsi="Times New Roman" w:eastAsia="宋体" w:cs="Times New Roman"/>
                <w:b w:val="0"/>
                <w:color w:val="auto"/>
                <w:sz w:val="24"/>
                <w:szCs w:val="24"/>
              </w:rPr>
              <w:t>（1）环境影响识别</w:t>
            </w:r>
            <w:bookmarkEnd w:id="1"/>
            <w:bookmarkEnd w:id="2"/>
            <w:bookmarkEnd w:id="3"/>
            <w:bookmarkEnd w:id="4"/>
          </w:p>
          <w:p w14:paraId="662AED0D">
            <w:pPr>
              <w:pStyle w:val="1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eastAsia="zh-CN"/>
              </w:rPr>
              <w:t>4-</w:t>
            </w:r>
            <w:r>
              <w:rPr>
                <w:rFonts w:hint="eastAsia" w:ascii="Times New Roman" w:cs="Times New Roman"/>
                <w:b/>
                <w:color w:val="auto"/>
                <w:sz w:val="21"/>
                <w:szCs w:val="21"/>
                <w:lang w:val="en-US" w:eastAsia="zh-CN"/>
              </w:rPr>
              <w:t>10</w:t>
            </w:r>
            <w:r>
              <w:rPr>
                <w:rFonts w:hint="eastAsia"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eastAsia="zh-CN"/>
              </w:rPr>
              <w:t>地下水、</w:t>
            </w:r>
            <w:r>
              <w:rPr>
                <w:rFonts w:hint="default" w:ascii="Times New Roman" w:hAnsi="Times New Roman" w:eastAsia="宋体" w:cs="Times New Roman"/>
                <w:b/>
                <w:color w:val="auto"/>
                <w:sz w:val="21"/>
                <w:szCs w:val="21"/>
              </w:rPr>
              <w:t>土壤</w:t>
            </w:r>
            <w:r>
              <w:rPr>
                <w:rFonts w:hint="default" w:ascii="Times New Roman" w:hAnsi="Times New Roman" w:eastAsia="宋体" w:cs="Times New Roman"/>
                <w:b/>
                <w:color w:val="auto"/>
                <w:sz w:val="21"/>
                <w:szCs w:val="21"/>
                <w:lang w:eastAsia="zh-CN"/>
              </w:rPr>
              <w:t>污染源</w:t>
            </w:r>
            <w:r>
              <w:rPr>
                <w:rFonts w:hint="default" w:ascii="Times New Roman" w:hAnsi="Times New Roman" w:eastAsia="宋体" w:cs="Times New Roman"/>
                <w:b/>
                <w:color w:val="auto"/>
                <w:sz w:val="21"/>
                <w:szCs w:val="21"/>
              </w:rPr>
              <w:t>及</w:t>
            </w:r>
            <w:r>
              <w:rPr>
                <w:rFonts w:hint="default" w:ascii="Times New Roman" w:hAnsi="Times New Roman" w:eastAsia="宋体" w:cs="Times New Roman"/>
                <w:b/>
                <w:color w:val="auto"/>
                <w:sz w:val="21"/>
                <w:szCs w:val="21"/>
                <w:lang w:eastAsia="zh-CN"/>
              </w:rPr>
              <w:t>污染物类型</w:t>
            </w:r>
            <w:r>
              <w:rPr>
                <w:rFonts w:hint="default" w:ascii="Times New Roman" w:hAnsi="Times New Roman" w:eastAsia="宋体" w:cs="Times New Roman"/>
                <w:b/>
                <w:color w:val="auto"/>
                <w:sz w:val="21"/>
                <w:szCs w:val="21"/>
              </w:rPr>
              <w:t>表</w:t>
            </w:r>
          </w:p>
          <w:tbl>
            <w:tblPr>
              <w:tblStyle w:val="1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787"/>
              <w:gridCol w:w="1787"/>
              <w:gridCol w:w="2430"/>
              <w:gridCol w:w="2431"/>
            </w:tblGrid>
            <w:tr w14:paraId="356033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 w:hRule="atLeast"/>
              </w:trPr>
              <w:tc>
                <w:tcPr>
                  <w:tcW w:w="1059" w:type="pct"/>
                  <w:tcBorders>
                    <w:tl2br w:val="nil"/>
                    <w:tr2bl w:val="nil"/>
                  </w:tcBorders>
                  <w:noWrap w:val="0"/>
                  <w:vAlign w:val="center"/>
                </w:tcPr>
                <w:p w14:paraId="56D75F10">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059" w:type="pct"/>
                  <w:tcBorders>
                    <w:tl2br w:val="nil"/>
                    <w:tr2bl w:val="nil"/>
                  </w:tcBorders>
                  <w:noWrap w:val="0"/>
                  <w:vAlign w:val="center"/>
                </w:tcPr>
                <w:p w14:paraId="3421B6CA">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污染源</w:t>
                  </w:r>
                </w:p>
              </w:tc>
              <w:tc>
                <w:tcPr>
                  <w:tcW w:w="1440" w:type="pct"/>
                  <w:tcBorders>
                    <w:tl2br w:val="nil"/>
                    <w:tr2bl w:val="nil"/>
                  </w:tcBorders>
                  <w:noWrap w:val="0"/>
                  <w:vAlign w:val="center"/>
                </w:tcPr>
                <w:p w14:paraId="1F0C121E">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污染物类型</w:t>
                  </w:r>
                </w:p>
              </w:tc>
              <w:tc>
                <w:tcPr>
                  <w:tcW w:w="1440" w:type="pct"/>
                  <w:tcBorders>
                    <w:tl2br w:val="nil"/>
                    <w:tr2bl w:val="nil"/>
                  </w:tcBorders>
                  <w:noWrap w:val="0"/>
                  <w:vAlign w:val="center"/>
                </w:tcPr>
                <w:p w14:paraId="1C3D01E8">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污染途径</w:t>
                  </w:r>
                </w:p>
              </w:tc>
            </w:tr>
            <w:tr w14:paraId="4AFAE2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 w:hRule="atLeast"/>
              </w:trPr>
              <w:tc>
                <w:tcPr>
                  <w:tcW w:w="1059" w:type="pct"/>
                  <w:vMerge w:val="restart"/>
                  <w:tcBorders>
                    <w:tl2br w:val="nil"/>
                    <w:tr2bl w:val="nil"/>
                  </w:tcBorders>
                  <w:noWrap w:val="0"/>
                  <w:vAlign w:val="center"/>
                </w:tcPr>
                <w:p w14:paraId="639A9A5B">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059" w:type="pct"/>
                  <w:vMerge w:val="restart"/>
                  <w:tcBorders>
                    <w:tl2br w:val="nil"/>
                    <w:tr2bl w:val="nil"/>
                  </w:tcBorders>
                  <w:noWrap w:val="0"/>
                  <w:vAlign w:val="center"/>
                </w:tcPr>
                <w:p w14:paraId="1604545B">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危废暂存间</w:t>
                  </w:r>
                </w:p>
              </w:tc>
              <w:tc>
                <w:tcPr>
                  <w:tcW w:w="1440" w:type="pct"/>
                  <w:tcBorders>
                    <w:tl2br w:val="nil"/>
                    <w:tr2bl w:val="nil"/>
                  </w:tcBorders>
                  <w:noWrap w:val="0"/>
                  <w:vAlign w:val="center"/>
                </w:tcPr>
                <w:p w14:paraId="258A8CB7">
                  <w:pPr>
                    <w:snapToGrid w:val="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1440" w:type="pct"/>
                  <w:tcBorders>
                    <w:tl2br w:val="nil"/>
                    <w:tr2bl w:val="nil"/>
                  </w:tcBorders>
                  <w:noWrap w:val="0"/>
                  <w:vAlign w:val="center"/>
                </w:tcPr>
                <w:p w14:paraId="74AEAF4A">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大气沉降</w:t>
                  </w:r>
                </w:p>
              </w:tc>
            </w:tr>
            <w:tr w14:paraId="61B948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 w:hRule="atLeast"/>
              </w:trPr>
              <w:tc>
                <w:tcPr>
                  <w:tcW w:w="1059" w:type="pct"/>
                  <w:vMerge w:val="continue"/>
                  <w:tcBorders>
                    <w:tl2br w:val="nil"/>
                    <w:tr2bl w:val="nil"/>
                  </w:tcBorders>
                  <w:noWrap w:val="0"/>
                  <w:vAlign w:val="center"/>
                </w:tcPr>
                <w:p w14:paraId="05D71E54">
                  <w:pPr>
                    <w:snapToGrid w:val="0"/>
                    <w:jc w:val="center"/>
                    <w:rPr>
                      <w:rFonts w:hint="default" w:ascii="Times New Roman" w:hAnsi="Times New Roman" w:eastAsia="宋体" w:cs="Times New Roman"/>
                      <w:color w:val="auto"/>
                      <w:sz w:val="21"/>
                      <w:szCs w:val="21"/>
                    </w:rPr>
                  </w:pPr>
                </w:p>
              </w:tc>
              <w:tc>
                <w:tcPr>
                  <w:tcW w:w="1059" w:type="pct"/>
                  <w:vMerge w:val="continue"/>
                  <w:tcBorders>
                    <w:tl2br w:val="nil"/>
                    <w:tr2bl w:val="nil"/>
                  </w:tcBorders>
                  <w:noWrap w:val="0"/>
                  <w:vAlign w:val="center"/>
                </w:tcPr>
                <w:p w14:paraId="0C4FFECA">
                  <w:pPr>
                    <w:snapToGrid w:val="0"/>
                    <w:jc w:val="center"/>
                    <w:rPr>
                      <w:rFonts w:hint="default" w:ascii="Times New Roman" w:hAnsi="Times New Roman" w:eastAsia="宋体" w:cs="Times New Roman"/>
                      <w:color w:val="auto"/>
                      <w:sz w:val="21"/>
                      <w:szCs w:val="21"/>
                    </w:rPr>
                  </w:pPr>
                </w:p>
              </w:tc>
              <w:tc>
                <w:tcPr>
                  <w:tcW w:w="1440" w:type="pct"/>
                  <w:tcBorders>
                    <w:tl2br w:val="nil"/>
                    <w:tr2bl w:val="nil"/>
                  </w:tcBorders>
                  <w:noWrap w:val="0"/>
                  <w:vAlign w:val="center"/>
                </w:tcPr>
                <w:p w14:paraId="5ED9911E">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440" w:type="pct"/>
                  <w:tcBorders>
                    <w:tl2br w:val="nil"/>
                    <w:tr2bl w:val="nil"/>
                  </w:tcBorders>
                  <w:noWrap w:val="0"/>
                  <w:vAlign w:val="center"/>
                </w:tcPr>
                <w:p w14:paraId="6995C4D4">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地面漫流</w:t>
                  </w:r>
                </w:p>
              </w:tc>
            </w:tr>
            <w:tr w14:paraId="3B2C61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 w:hRule="atLeast"/>
              </w:trPr>
              <w:tc>
                <w:tcPr>
                  <w:tcW w:w="1059" w:type="pct"/>
                  <w:vMerge w:val="continue"/>
                  <w:tcBorders>
                    <w:tl2br w:val="nil"/>
                    <w:tr2bl w:val="nil"/>
                  </w:tcBorders>
                  <w:noWrap w:val="0"/>
                  <w:vAlign w:val="center"/>
                </w:tcPr>
                <w:p w14:paraId="6F42B62E">
                  <w:pPr>
                    <w:snapToGrid w:val="0"/>
                    <w:jc w:val="center"/>
                    <w:rPr>
                      <w:rFonts w:hint="default" w:ascii="Times New Roman" w:hAnsi="Times New Roman" w:eastAsia="宋体" w:cs="Times New Roman"/>
                      <w:color w:val="auto"/>
                      <w:sz w:val="21"/>
                      <w:szCs w:val="21"/>
                    </w:rPr>
                  </w:pPr>
                </w:p>
              </w:tc>
              <w:tc>
                <w:tcPr>
                  <w:tcW w:w="1059" w:type="pct"/>
                  <w:vMerge w:val="continue"/>
                  <w:tcBorders>
                    <w:tl2br w:val="nil"/>
                    <w:tr2bl w:val="nil"/>
                  </w:tcBorders>
                  <w:noWrap w:val="0"/>
                  <w:vAlign w:val="center"/>
                </w:tcPr>
                <w:p w14:paraId="38DB9BD2">
                  <w:pPr>
                    <w:snapToGrid w:val="0"/>
                    <w:jc w:val="center"/>
                    <w:rPr>
                      <w:rFonts w:hint="default" w:ascii="Times New Roman" w:hAnsi="Times New Roman" w:eastAsia="宋体" w:cs="Times New Roman"/>
                      <w:color w:val="auto"/>
                      <w:sz w:val="21"/>
                      <w:szCs w:val="21"/>
                    </w:rPr>
                  </w:pPr>
                </w:p>
              </w:tc>
              <w:tc>
                <w:tcPr>
                  <w:tcW w:w="1440" w:type="pct"/>
                  <w:tcBorders>
                    <w:tl2br w:val="nil"/>
                    <w:tr2bl w:val="nil"/>
                  </w:tcBorders>
                  <w:noWrap w:val="0"/>
                  <w:vAlign w:val="center"/>
                </w:tcPr>
                <w:p w14:paraId="2803F07D">
                  <w:pPr>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石油类</w:t>
                  </w:r>
                </w:p>
              </w:tc>
              <w:tc>
                <w:tcPr>
                  <w:tcW w:w="1440" w:type="pct"/>
                  <w:tcBorders>
                    <w:tl2br w:val="nil"/>
                    <w:tr2bl w:val="nil"/>
                  </w:tcBorders>
                  <w:noWrap w:val="0"/>
                  <w:vAlign w:val="center"/>
                </w:tcPr>
                <w:p w14:paraId="69D74B1F">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垂直入渗</w:t>
                  </w:r>
                </w:p>
              </w:tc>
            </w:tr>
            <w:tr w14:paraId="61B2CF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4" w:hRule="atLeast"/>
              </w:trPr>
              <w:tc>
                <w:tcPr>
                  <w:tcW w:w="1059" w:type="pct"/>
                  <w:vMerge w:val="continue"/>
                  <w:tcBorders>
                    <w:tl2br w:val="nil"/>
                    <w:tr2bl w:val="nil"/>
                  </w:tcBorders>
                  <w:noWrap w:val="0"/>
                  <w:vAlign w:val="center"/>
                </w:tcPr>
                <w:p w14:paraId="220A90B7">
                  <w:pPr>
                    <w:snapToGrid w:val="0"/>
                    <w:jc w:val="center"/>
                    <w:rPr>
                      <w:rFonts w:hint="default" w:ascii="Times New Roman" w:hAnsi="Times New Roman" w:eastAsia="宋体" w:cs="Times New Roman"/>
                      <w:color w:val="auto"/>
                      <w:sz w:val="21"/>
                      <w:szCs w:val="21"/>
                    </w:rPr>
                  </w:pPr>
                </w:p>
              </w:tc>
              <w:tc>
                <w:tcPr>
                  <w:tcW w:w="1059" w:type="pct"/>
                  <w:vMerge w:val="continue"/>
                  <w:tcBorders>
                    <w:tl2br w:val="nil"/>
                    <w:tr2bl w:val="nil"/>
                  </w:tcBorders>
                  <w:noWrap w:val="0"/>
                  <w:vAlign w:val="center"/>
                </w:tcPr>
                <w:p w14:paraId="5239679E">
                  <w:pPr>
                    <w:snapToGrid w:val="0"/>
                    <w:jc w:val="center"/>
                    <w:rPr>
                      <w:rFonts w:hint="default" w:ascii="Times New Roman" w:hAnsi="Times New Roman" w:eastAsia="宋体" w:cs="Times New Roman"/>
                      <w:color w:val="auto"/>
                      <w:sz w:val="21"/>
                      <w:szCs w:val="21"/>
                    </w:rPr>
                  </w:pPr>
                </w:p>
              </w:tc>
              <w:tc>
                <w:tcPr>
                  <w:tcW w:w="1440" w:type="pct"/>
                  <w:tcBorders>
                    <w:tl2br w:val="nil"/>
                    <w:tr2bl w:val="nil"/>
                  </w:tcBorders>
                  <w:noWrap w:val="0"/>
                  <w:vAlign w:val="center"/>
                </w:tcPr>
                <w:p w14:paraId="074D323D">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40" w:type="pct"/>
                  <w:tcBorders>
                    <w:tl2br w:val="nil"/>
                    <w:tr2bl w:val="nil"/>
                  </w:tcBorders>
                  <w:noWrap w:val="0"/>
                  <w:vAlign w:val="center"/>
                </w:tcPr>
                <w:p w14:paraId="2156DB47">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其它</w:t>
                  </w:r>
                </w:p>
              </w:tc>
            </w:tr>
          </w:tbl>
          <w:p w14:paraId="7304123A">
            <w:pPr>
              <w:snapToGrid w:val="0"/>
              <w:spacing w:line="360" w:lineRule="auto"/>
              <w:ind w:firstLine="480" w:firstLineChars="200"/>
              <w:rPr>
                <w:rFonts w:hint="default" w:ascii="Times New Roman" w:hAnsi="Times New Roman" w:eastAsia="宋体" w:cs="Times New Roman"/>
                <w:color w:val="auto"/>
                <w:sz w:val="24"/>
                <w:szCs w:val="24"/>
              </w:rPr>
            </w:pPr>
            <w:bookmarkStart w:id="5" w:name="_Toc13214"/>
            <w:bookmarkStart w:id="6" w:name="_Toc15149"/>
            <w:r>
              <w:rPr>
                <w:rFonts w:hint="default" w:ascii="Times New Roman" w:hAnsi="Times New Roman" w:eastAsia="宋体" w:cs="Times New Roman"/>
                <w:color w:val="auto"/>
                <w:sz w:val="24"/>
                <w:szCs w:val="24"/>
              </w:rPr>
              <w:t>（2）地下水土壤环境保护措施与对策</w:t>
            </w:r>
            <w:bookmarkEnd w:id="5"/>
            <w:bookmarkEnd w:id="6"/>
          </w:p>
          <w:p w14:paraId="3E5EA228">
            <w:pPr>
              <w:snapToGrid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eastAsia" w:cs="Times New Roman"/>
                <w:b/>
                <w:color w:val="auto"/>
                <w:sz w:val="24"/>
                <w:szCs w:val="24"/>
                <w:lang w:val="en-US" w:eastAsia="zh-CN"/>
              </w:rPr>
              <w:t xml:space="preserve">11  </w:t>
            </w:r>
            <w:r>
              <w:rPr>
                <w:rFonts w:hint="default" w:ascii="Times New Roman" w:hAnsi="Times New Roman" w:eastAsia="宋体" w:cs="Times New Roman"/>
                <w:b/>
                <w:color w:val="auto"/>
                <w:sz w:val="24"/>
                <w:szCs w:val="24"/>
              </w:rPr>
              <w:t>厂区分区防渗内容汇总表</w:t>
            </w:r>
          </w:p>
          <w:tbl>
            <w:tblPr>
              <w:tblStyle w:val="19"/>
              <w:tblW w:w="5036"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0" w:type="dxa"/>
                <w:bottom w:w="0" w:type="dxa"/>
                <w:right w:w="0" w:type="dxa"/>
              </w:tblCellMar>
            </w:tblPr>
            <w:tblGrid>
              <w:gridCol w:w="1211"/>
              <w:gridCol w:w="1700"/>
              <w:gridCol w:w="2481"/>
              <w:gridCol w:w="3107"/>
            </w:tblGrid>
            <w:tr w14:paraId="27F9DF24">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trPr>
              <w:tc>
                <w:tcPr>
                  <w:tcW w:w="712" w:type="pct"/>
                  <w:tcBorders>
                    <w:tl2br w:val="nil"/>
                    <w:tr2bl w:val="nil"/>
                  </w:tcBorders>
                  <w:noWrap w:val="0"/>
                  <w:vAlign w:val="center"/>
                </w:tcPr>
                <w:p w14:paraId="41B895A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防渗级别</w:t>
                  </w:r>
                </w:p>
              </w:tc>
              <w:tc>
                <w:tcPr>
                  <w:tcW w:w="1000" w:type="pct"/>
                  <w:tcBorders>
                    <w:tl2br w:val="nil"/>
                    <w:tr2bl w:val="nil"/>
                  </w:tcBorders>
                  <w:noWrap w:val="0"/>
                  <w:vAlign w:val="center"/>
                </w:tcPr>
                <w:p w14:paraId="1C964E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功能区</w:t>
                  </w:r>
                </w:p>
              </w:tc>
              <w:tc>
                <w:tcPr>
                  <w:tcW w:w="1459" w:type="pct"/>
                  <w:tcBorders>
                    <w:tl2br w:val="nil"/>
                    <w:tr2bl w:val="nil"/>
                  </w:tcBorders>
                  <w:noWrap w:val="0"/>
                  <w:vAlign w:val="center"/>
                </w:tcPr>
                <w:p w14:paraId="2D7132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工作区</w:t>
                  </w:r>
                </w:p>
              </w:tc>
              <w:tc>
                <w:tcPr>
                  <w:tcW w:w="1827" w:type="pct"/>
                  <w:tcBorders>
                    <w:tl2br w:val="nil"/>
                    <w:tr2bl w:val="nil"/>
                  </w:tcBorders>
                  <w:noWrap w:val="0"/>
                  <w:vAlign w:val="center"/>
                </w:tcPr>
                <w:p w14:paraId="52DB5E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防渗要求</w:t>
                  </w:r>
                </w:p>
              </w:tc>
            </w:tr>
            <w:tr w14:paraId="66C2E7E3">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trPr>
              <w:tc>
                <w:tcPr>
                  <w:tcW w:w="712" w:type="pct"/>
                  <w:tcBorders>
                    <w:tl2br w:val="nil"/>
                    <w:tr2bl w:val="nil"/>
                  </w:tcBorders>
                  <w:noWrap w:val="0"/>
                  <w:vAlign w:val="center"/>
                </w:tcPr>
                <w:p w14:paraId="22F4E8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重点防渗</w:t>
                  </w:r>
                </w:p>
              </w:tc>
              <w:tc>
                <w:tcPr>
                  <w:tcW w:w="1000" w:type="pct"/>
                  <w:tcBorders>
                    <w:tl2br w:val="nil"/>
                    <w:tr2bl w:val="nil"/>
                  </w:tcBorders>
                  <w:noWrap w:val="0"/>
                  <w:vAlign w:val="center"/>
                </w:tcPr>
                <w:p w14:paraId="4F409E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环保工程</w:t>
                  </w:r>
                </w:p>
              </w:tc>
              <w:tc>
                <w:tcPr>
                  <w:tcW w:w="1459" w:type="pct"/>
                  <w:tcBorders>
                    <w:tl2br w:val="nil"/>
                    <w:tr2bl w:val="nil"/>
                  </w:tcBorders>
                  <w:noWrap w:val="0"/>
                  <w:vAlign w:val="center"/>
                </w:tcPr>
                <w:p w14:paraId="1B2023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危废暂存间</w:t>
                  </w:r>
                  <w:r>
                    <w:rPr>
                      <w:rFonts w:hint="eastAsia" w:cs="Times New Roman"/>
                      <w:color w:val="auto"/>
                      <w:sz w:val="21"/>
                      <w:szCs w:val="21"/>
                      <w:lang w:val="en-US" w:eastAsia="zh-CN"/>
                    </w:rPr>
                    <w:t>、沉淀池</w:t>
                  </w:r>
                </w:p>
              </w:tc>
              <w:tc>
                <w:tcPr>
                  <w:tcW w:w="1827" w:type="pct"/>
                  <w:tcBorders>
                    <w:tl2br w:val="nil"/>
                    <w:tr2bl w:val="nil"/>
                  </w:tcBorders>
                  <w:noWrap w:val="0"/>
                  <w:vAlign w:val="center"/>
                </w:tcPr>
                <w:p w14:paraId="0796A6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等效黏土防渗层Mb≥6.0m，渗透系数≤1.0×10</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rPr>
                    <w:t>cm/s，或参照GB18598执行</w:t>
                  </w:r>
                </w:p>
              </w:tc>
            </w:tr>
            <w:tr w14:paraId="17A45F36">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trPr>
              <w:tc>
                <w:tcPr>
                  <w:tcW w:w="712" w:type="pct"/>
                  <w:tcBorders>
                    <w:tl2br w:val="nil"/>
                    <w:tr2bl w:val="nil"/>
                  </w:tcBorders>
                  <w:noWrap w:val="0"/>
                  <w:vAlign w:val="center"/>
                </w:tcPr>
                <w:p w14:paraId="080940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一般污染防渗区域</w:t>
                  </w:r>
                </w:p>
              </w:tc>
              <w:tc>
                <w:tcPr>
                  <w:tcW w:w="1000" w:type="pct"/>
                  <w:tcBorders>
                    <w:tl2br w:val="nil"/>
                    <w:tr2bl w:val="nil"/>
                  </w:tcBorders>
                  <w:noWrap w:val="0"/>
                  <w:vAlign w:val="center"/>
                </w:tcPr>
                <w:p w14:paraId="75468AA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主体工程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环保工程</w:t>
                  </w:r>
                </w:p>
              </w:tc>
              <w:tc>
                <w:tcPr>
                  <w:tcW w:w="1459" w:type="pct"/>
                  <w:tcBorders>
                    <w:tl2br w:val="nil"/>
                    <w:tr2bl w:val="nil"/>
                  </w:tcBorders>
                  <w:noWrap w:val="0"/>
                  <w:vAlign w:val="center"/>
                </w:tcPr>
                <w:p w14:paraId="6841454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一般固废暂存间、生产车间</w:t>
                  </w:r>
                </w:p>
              </w:tc>
              <w:tc>
                <w:tcPr>
                  <w:tcW w:w="1827" w:type="pct"/>
                  <w:tcBorders>
                    <w:tl2br w:val="nil"/>
                    <w:tr2bl w:val="nil"/>
                  </w:tcBorders>
                  <w:noWrap w:val="0"/>
                  <w:vAlign w:val="center"/>
                </w:tcPr>
                <w:p w14:paraId="4B2B09D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等效黏土防渗层Mb≥1.5m，渗透系数≤1.0×10</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rPr>
                    <w:t>cm/s，或参照GB16889执行</w:t>
                  </w:r>
                </w:p>
              </w:tc>
            </w:tr>
            <w:tr w14:paraId="25B5DF32">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0" w:type="dxa"/>
                  <w:bottom w:w="0" w:type="dxa"/>
                  <w:right w:w="0" w:type="dxa"/>
                </w:tblCellMar>
              </w:tblPrEx>
              <w:trPr>
                <w:trHeight w:val="23" w:hRule="atLeast"/>
              </w:trPr>
              <w:tc>
                <w:tcPr>
                  <w:tcW w:w="712" w:type="pct"/>
                  <w:tcBorders>
                    <w:tl2br w:val="nil"/>
                    <w:tr2bl w:val="nil"/>
                  </w:tcBorders>
                  <w:noWrap w:val="0"/>
                  <w:vAlign w:val="center"/>
                </w:tcPr>
                <w:p w14:paraId="5011C21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简单防渗区域</w:t>
                  </w:r>
                </w:p>
              </w:tc>
              <w:tc>
                <w:tcPr>
                  <w:tcW w:w="1000" w:type="pct"/>
                  <w:tcBorders>
                    <w:tl2br w:val="nil"/>
                    <w:tr2bl w:val="nil"/>
                  </w:tcBorders>
                  <w:noWrap w:val="0"/>
                  <w:vAlign w:val="center"/>
                </w:tcPr>
                <w:p w14:paraId="04B9CA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共用工程</w:t>
                  </w:r>
                </w:p>
              </w:tc>
              <w:tc>
                <w:tcPr>
                  <w:tcW w:w="1459" w:type="pct"/>
                  <w:tcBorders>
                    <w:tl2br w:val="nil"/>
                    <w:tr2bl w:val="nil"/>
                  </w:tcBorders>
                  <w:noWrap w:val="0"/>
                  <w:vAlign w:val="center"/>
                </w:tcPr>
                <w:p w14:paraId="6372F2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eastAsia="zh-CN"/>
                    </w:rPr>
                    <w:t>办公区、</w:t>
                  </w:r>
                  <w:r>
                    <w:rPr>
                      <w:rFonts w:hint="default" w:ascii="Times New Roman" w:hAnsi="Times New Roman" w:eastAsia="宋体" w:cs="Times New Roman"/>
                      <w:color w:val="auto"/>
                      <w:sz w:val="21"/>
                      <w:szCs w:val="21"/>
                    </w:rPr>
                    <w:t>道路</w:t>
                  </w:r>
                </w:p>
              </w:tc>
              <w:tc>
                <w:tcPr>
                  <w:tcW w:w="1827" w:type="pct"/>
                  <w:tcBorders>
                    <w:tl2br w:val="nil"/>
                    <w:tr2bl w:val="nil"/>
                  </w:tcBorders>
                  <w:noWrap w:val="0"/>
                  <w:vAlign w:val="center"/>
                </w:tcPr>
                <w:p w14:paraId="768D27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14:paraId="6DE073CE">
            <w:pPr>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（3）地下水、土壤监测要求</w:t>
            </w:r>
          </w:p>
          <w:p w14:paraId="6907A39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eastAsia" w:cs="Times New Roman"/>
                <w:bCs/>
                <w:color w:val="auto"/>
                <w:sz w:val="24"/>
                <w:szCs w:val="24"/>
                <w:lang w:val="en-US" w:eastAsia="zh-CN"/>
              </w:rPr>
              <w:t>本项目产品为中空玻璃制造，属于</w:t>
            </w:r>
            <w:r>
              <w:rPr>
                <w:rFonts w:hint="default" w:ascii="Times New Roman" w:hAnsi="Times New Roman" w:cs="Times New Roman"/>
                <w:color w:val="auto"/>
                <w:sz w:val="24"/>
                <w:lang w:val="en-US" w:eastAsia="zh-CN"/>
              </w:rPr>
              <w:t>C3042特种玻璃制造制造</w:t>
            </w:r>
            <w:r>
              <w:rPr>
                <w:rFonts w:hint="eastAsia" w:cs="Times New Roman"/>
                <w:bCs/>
                <w:color w:val="auto"/>
                <w:sz w:val="24"/>
                <w:szCs w:val="24"/>
                <w:lang w:val="en-US" w:eastAsia="zh-CN"/>
              </w:rPr>
              <w:t>，属于二十五、非金属矿物制品业65、玻璃制造（特种玻璃制造），排污类别为“简化管理”</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参照</w:t>
            </w:r>
            <w:r>
              <w:rPr>
                <w:rFonts w:hint="default" w:ascii="Times New Roman" w:hAnsi="Times New Roman" w:eastAsia="宋体" w:cs="Times New Roman"/>
                <w:bCs/>
                <w:color w:val="auto"/>
                <w:sz w:val="24"/>
                <w:szCs w:val="24"/>
              </w:rPr>
              <w:t xml:space="preserve">《排污许可证申请与核发技术规范 </w:t>
            </w:r>
            <w:r>
              <w:rPr>
                <w:rFonts w:hint="eastAsia" w:ascii="Times New Roman" w:hAnsi="Times New Roman" w:eastAsia="宋体" w:cs="Times New Roman"/>
                <w:bCs/>
                <w:color w:val="auto"/>
                <w:sz w:val="24"/>
                <w:szCs w:val="24"/>
                <w:lang w:val="en-US" w:eastAsia="zh-CN"/>
              </w:rPr>
              <w:t xml:space="preserve"> </w:t>
            </w:r>
            <w:r>
              <w:rPr>
                <w:rFonts w:hint="eastAsia" w:cs="Times New Roman"/>
                <w:bCs/>
                <w:color w:val="auto"/>
                <w:sz w:val="24"/>
                <w:szCs w:val="24"/>
                <w:lang w:val="en-US" w:eastAsia="zh-CN"/>
              </w:rPr>
              <w:t>总则</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HJ942-2018</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以及</w:t>
            </w:r>
            <w:r>
              <w:rPr>
                <w:rFonts w:hint="default" w:ascii="Times New Roman" w:hAnsi="Times New Roman" w:eastAsia="宋体" w:cs="Times New Roman"/>
                <w:bCs/>
                <w:color w:val="auto"/>
                <w:sz w:val="24"/>
                <w:szCs w:val="24"/>
              </w:rPr>
              <w:t>《排污</w:t>
            </w:r>
            <w:r>
              <w:rPr>
                <w:rFonts w:hint="eastAsia" w:cs="Times New Roman"/>
                <w:bCs/>
                <w:color w:val="auto"/>
                <w:sz w:val="24"/>
                <w:szCs w:val="24"/>
                <w:lang w:val="en-US" w:eastAsia="zh-CN"/>
              </w:rPr>
              <w:t>单位自行监测技术指南</w:t>
            </w:r>
            <w:r>
              <w:rPr>
                <w:rFonts w:hint="default" w:ascii="Times New Roman" w:hAnsi="Times New Roman" w:eastAsia="宋体" w:cs="Times New Roman"/>
                <w:bCs/>
                <w:color w:val="auto"/>
                <w:sz w:val="24"/>
                <w:szCs w:val="24"/>
              </w:rPr>
              <w:t xml:space="preserve"> </w:t>
            </w:r>
            <w:r>
              <w:rPr>
                <w:rFonts w:hint="eastAsia" w:ascii="Times New Roman" w:hAnsi="Times New Roman" w:eastAsia="宋体" w:cs="Times New Roman"/>
                <w:bCs/>
                <w:color w:val="auto"/>
                <w:sz w:val="24"/>
                <w:szCs w:val="24"/>
                <w:lang w:val="en-US" w:eastAsia="zh-CN"/>
              </w:rPr>
              <w:t xml:space="preserve"> </w:t>
            </w:r>
            <w:r>
              <w:rPr>
                <w:rFonts w:hint="eastAsia" w:cs="Times New Roman"/>
                <w:bCs/>
                <w:color w:val="auto"/>
                <w:sz w:val="24"/>
                <w:szCs w:val="24"/>
                <w:lang w:val="en-US" w:eastAsia="zh-CN"/>
              </w:rPr>
              <w:t>总则</w:t>
            </w:r>
            <w:r>
              <w:rPr>
                <w:rFonts w:hint="default" w:ascii="Times New Roman" w:hAnsi="Times New Roman" w:eastAsia="宋体" w:cs="Times New Roman"/>
                <w:bCs/>
                <w:color w:val="auto"/>
                <w:sz w:val="24"/>
                <w:szCs w:val="24"/>
              </w:rPr>
              <w:t>》（</w:t>
            </w:r>
            <w:r>
              <w:rPr>
                <w:rFonts w:hint="eastAsia" w:cs="Times New Roman"/>
                <w:bCs/>
                <w:color w:val="auto"/>
                <w:sz w:val="24"/>
                <w:szCs w:val="24"/>
                <w:lang w:val="en-US" w:eastAsia="zh-CN"/>
              </w:rPr>
              <w:t>HJ819-2017</w:t>
            </w:r>
            <w:r>
              <w:rPr>
                <w:rFonts w:hint="default" w:ascii="Times New Roman" w:hAnsi="Times New Roman" w:eastAsia="宋体" w:cs="Times New Roman"/>
                <w:bCs/>
                <w:color w:val="auto"/>
                <w:sz w:val="24"/>
                <w:szCs w:val="24"/>
              </w:rPr>
              <w:t>）中</w:t>
            </w:r>
            <w:r>
              <w:rPr>
                <w:rFonts w:hint="eastAsia" w:cs="Times New Roman"/>
                <w:bCs/>
                <w:color w:val="auto"/>
                <w:sz w:val="24"/>
                <w:szCs w:val="24"/>
                <w:lang w:val="en-US" w:eastAsia="zh-CN"/>
              </w:rPr>
              <w:t>简化</w:t>
            </w:r>
            <w:r>
              <w:rPr>
                <w:rFonts w:hint="eastAsia" w:cs="Times New Roman"/>
                <w:bCs/>
                <w:color w:val="auto"/>
                <w:sz w:val="24"/>
                <w:szCs w:val="24"/>
                <w:lang w:eastAsia="zh-CN"/>
              </w:rPr>
              <w:t>管理</w:t>
            </w:r>
            <w:r>
              <w:rPr>
                <w:rFonts w:hint="default" w:ascii="Times New Roman" w:hAnsi="Times New Roman" w:eastAsia="宋体" w:cs="Times New Roman"/>
                <w:bCs/>
                <w:color w:val="auto"/>
                <w:sz w:val="24"/>
                <w:szCs w:val="24"/>
              </w:rPr>
              <w:t>排污单位自行监测相关要求</w:t>
            </w:r>
            <w:r>
              <w:rPr>
                <w:rFonts w:hint="eastAsia" w:cs="Times New Roman"/>
                <w:bCs/>
                <w:color w:val="auto"/>
                <w:sz w:val="24"/>
                <w:szCs w:val="24"/>
                <w:lang w:eastAsia="zh-CN"/>
              </w:rPr>
              <w:t>，</w:t>
            </w:r>
            <w:r>
              <w:rPr>
                <w:rFonts w:hint="default" w:ascii="Times New Roman" w:hAnsi="Times New Roman" w:eastAsia="宋体" w:cs="Times New Roman"/>
                <w:bCs/>
                <w:color w:val="auto"/>
                <w:sz w:val="24"/>
                <w:szCs w:val="24"/>
              </w:rPr>
              <w:t>地下水、土壤</w:t>
            </w:r>
            <w:r>
              <w:rPr>
                <w:rFonts w:hint="eastAsia" w:cs="Times New Roman"/>
                <w:bCs/>
                <w:color w:val="auto"/>
                <w:sz w:val="24"/>
                <w:szCs w:val="24"/>
                <w:lang w:eastAsia="zh-CN"/>
              </w:rPr>
              <w:t>环境</w:t>
            </w:r>
            <w:r>
              <w:rPr>
                <w:rFonts w:hint="default" w:ascii="Times New Roman" w:hAnsi="Times New Roman" w:eastAsia="宋体" w:cs="Times New Roman"/>
                <w:bCs/>
                <w:color w:val="auto"/>
                <w:sz w:val="24"/>
                <w:szCs w:val="24"/>
              </w:rPr>
              <w:t>无需开展监测。本项目生产、存储均于标准化厂房内，且采取分区防渗，危废库、化粪池、</w:t>
            </w:r>
            <w:r>
              <w:rPr>
                <w:rFonts w:hint="default" w:ascii="Times New Roman" w:hAnsi="Times New Roman" w:cs="Times New Roman"/>
                <w:bCs/>
                <w:color w:val="auto"/>
                <w:sz w:val="24"/>
                <w:szCs w:val="24"/>
                <w:lang w:eastAsia="zh-CN"/>
              </w:rPr>
              <w:t>沉淀池</w:t>
            </w:r>
            <w:r>
              <w:rPr>
                <w:rFonts w:hint="default" w:ascii="Times New Roman" w:hAnsi="Times New Roman" w:eastAsia="宋体" w:cs="Times New Roman"/>
                <w:bCs/>
                <w:color w:val="auto"/>
                <w:sz w:val="24"/>
                <w:szCs w:val="24"/>
              </w:rPr>
              <w:t>采取重点防渗，一般固废库采取一般防渗，正常情况下，项目不会污染土壤、地下水。因此，本次土壤、地下水不开展跟踪监测。</w:t>
            </w:r>
          </w:p>
          <w:p w14:paraId="0CAF614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6、生态</w:t>
            </w:r>
          </w:p>
          <w:p w14:paraId="437C5ACD">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根据现场勘察，本项目位于</w:t>
            </w:r>
            <w:r>
              <w:rPr>
                <w:rFonts w:hint="default" w:ascii="Times New Roman" w:hAnsi="Times New Roman" w:cs="Times New Roman"/>
                <w:color w:val="auto"/>
                <w:sz w:val="24"/>
                <w:szCs w:val="24"/>
                <w:lang w:eastAsia="zh-CN"/>
              </w:rPr>
              <w:t>调兵山经济开发区南开发区，租赁沈阳新久利管业股份有限公司闲置厂房</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项目建设</w:t>
            </w:r>
            <w:r>
              <w:rPr>
                <w:rFonts w:hint="default" w:ascii="Times New Roman" w:hAnsi="Times New Roman" w:eastAsia="宋体" w:cs="Times New Roman"/>
                <w:color w:val="auto"/>
                <w:sz w:val="24"/>
                <w:szCs w:val="24"/>
                <w:lang w:eastAsia="zh-CN"/>
              </w:rPr>
              <w:t>用地</w:t>
            </w:r>
            <w:r>
              <w:rPr>
                <w:rFonts w:hint="default" w:ascii="Times New Roman" w:hAnsi="Times New Roman" w:cs="Times New Roman"/>
                <w:color w:val="auto"/>
                <w:sz w:val="24"/>
                <w:szCs w:val="24"/>
                <w:lang w:val="en-US" w:eastAsia="zh-CN"/>
              </w:rPr>
              <w:t>性质为工业用地</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sz w:val="24"/>
                <w:szCs w:val="24"/>
                <w:lang w:val="en-US" w:eastAsia="zh-CN"/>
              </w:rPr>
              <w:t>无生态保护目标，故无需进行生态影响分析。</w:t>
            </w:r>
          </w:p>
          <w:p w14:paraId="61F93C4A">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eastAsia="zh-CN"/>
              </w:rPr>
              <w:t>环境风险</w:t>
            </w:r>
          </w:p>
          <w:p w14:paraId="7C9525B4">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涉及环境风险物质的分布情况</w:t>
            </w:r>
          </w:p>
          <w:p w14:paraId="793C5A4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全厂主要原材料中丁基胶、硅酮胶、设备维修用机油、废机油，具有一定的环境风险。项目 生产过程中副产物及成品均不具有危险性，生产工艺及设施不具有危险。</w:t>
            </w:r>
          </w:p>
          <w:p w14:paraId="10C15F99">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本项目危险物质数量及分布情况详见下表。</w:t>
            </w:r>
          </w:p>
          <w:p w14:paraId="066C4B6C">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表 4.6-1 项目危险物质数量及分布情况</w:t>
            </w:r>
          </w:p>
          <w:tbl>
            <w:tblPr>
              <w:tblStyle w:val="20"/>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5"/>
              <w:gridCol w:w="1705"/>
              <w:gridCol w:w="1705"/>
            </w:tblGrid>
            <w:tr w14:paraId="47291F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5" w:type="dxa"/>
                  <w:tcBorders>
                    <w:tl2br w:val="nil"/>
                    <w:tr2bl w:val="nil"/>
                  </w:tcBorders>
                  <w:vAlign w:val="center"/>
                </w:tcPr>
                <w:p w14:paraId="71BC2372">
                  <w:pPr>
                    <w:jc w:val="center"/>
                    <w:rPr>
                      <w:rFonts w:hint="default"/>
                      <w:sz w:val="21"/>
                      <w:szCs w:val="21"/>
                      <w:vertAlign w:val="baseline"/>
                      <w:lang w:eastAsia="zh-CN"/>
                    </w:rPr>
                  </w:pPr>
                  <w:r>
                    <w:rPr>
                      <w:rFonts w:hint="eastAsia"/>
                      <w:sz w:val="21"/>
                      <w:szCs w:val="21"/>
                      <w:vertAlign w:val="baseline"/>
                      <w:lang w:eastAsia="zh-CN"/>
                    </w:rPr>
                    <w:t>序号</w:t>
                  </w:r>
                </w:p>
              </w:tc>
              <w:tc>
                <w:tcPr>
                  <w:tcW w:w="1705" w:type="dxa"/>
                  <w:tcBorders>
                    <w:tl2br w:val="nil"/>
                    <w:tr2bl w:val="nil"/>
                  </w:tcBorders>
                  <w:vAlign w:val="center"/>
                </w:tcPr>
                <w:p w14:paraId="6ECEC1BF">
                  <w:pPr>
                    <w:jc w:val="center"/>
                    <w:rPr>
                      <w:rFonts w:hint="default"/>
                      <w:sz w:val="21"/>
                      <w:szCs w:val="21"/>
                      <w:vertAlign w:val="baseline"/>
                      <w:lang w:eastAsia="zh-CN"/>
                    </w:rPr>
                  </w:pPr>
                  <w:r>
                    <w:rPr>
                      <w:rFonts w:hint="eastAsia"/>
                      <w:sz w:val="21"/>
                      <w:szCs w:val="21"/>
                      <w:vertAlign w:val="baseline"/>
                      <w:lang w:eastAsia="zh-CN"/>
                    </w:rPr>
                    <w:t>物质名称</w:t>
                  </w:r>
                </w:p>
              </w:tc>
              <w:tc>
                <w:tcPr>
                  <w:tcW w:w="1705" w:type="dxa"/>
                  <w:tcBorders>
                    <w:tl2br w:val="nil"/>
                    <w:tr2bl w:val="nil"/>
                  </w:tcBorders>
                  <w:vAlign w:val="center"/>
                </w:tcPr>
                <w:p w14:paraId="5E7F33EC">
                  <w:pPr>
                    <w:jc w:val="center"/>
                    <w:rPr>
                      <w:rFonts w:hint="default"/>
                      <w:sz w:val="21"/>
                      <w:szCs w:val="21"/>
                      <w:vertAlign w:val="baseline"/>
                      <w:lang w:eastAsia="zh-CN"/>
                    </w:rPr>
                  </w:pPr>
                  <w:r>
                    <w:rPr>
                      <w:rFonts w:hint="eastAsia"/>
                      <w:sz w:val="21"/>
                      <w:szCs w:val="21"/>
                      <w:vertAlign w:val="baseline"/>
                      <w:lang w:eastAsia="zh-CN"/>
                    </w:rPr>
                    <w:t>物态</w:t>
                  </w:r>
                </w:p>
              </w:tc>
              <w:tc>
                <w:tcPr>
                  <w:tcW w:w="1705" w:type="dxa"/>
                  <w:tcBorders>
                    <w:tl2br w:val="nil"/>
                    <w:tr2bl w:val="nil"/>
                  </w:tcBorders>
                  <w:vAlign w:val="center"/>
                </w:tcPr>
                <w:p w14:paraId="20FEFC93">
                  <w:pPr>
                    <w:jc w:val="center"/>
                    <w:rPr>
                      <w:rFonts w:hint="default"/>
                      <w:sz w:val="21"/>
                      <w:szCs w:val="21"/>
                      <w:vertAlign w:val="baseline"/>
                      <w:lang w:eastAsia="zh-CN"/>
                    </w:rPr>
                  </w:pPr>
                  <w:r>
                    <w:rPr>
                      <w:rFonts w:hint="eastAsia"/>
                      <w:sz w:val="21"/>
                      <w:szCs w:val="21"/>
                      <w:vertAlign w:val="baseline"/>
                      <w:lang w:eastAsia="zh-CN"/>
                    </w:rPr>
                    <w:t>最大储存量（</w:t>
                  </w:r>
                  <w:r>
                    <w:rPr>
                      <w:rFonts w:hint="eastAsia"/>
                      <w:sz w:val="21"/>
                      <w:szCs w:val="21"/>
                      <w:vertAlign w:val="baseline"/>
                      <w:lang w:val="en-US" w:eastAsia="zh-CN"/>
                    </w:rPr>
                    <w:t>t</w:t>
                  </w:r>
                  <w:r>
                    <w:rPr>
                      <w:rFonts w:hint="eastAsia"/>
                      <w:sz w:val="21"/>
                      <w:szCs w:val="21"/>
                      <w:vertAlign w:val="baseline"/>
                      <w:lang w:eastAsia="zh-CN"/>
                    </w:rPr>
                    <w:t>）</w:t>
                  </w:r>
                </w:p>
              </w:tc>
              <w:tc>
                <w:tcPr>
                  <w:tcW w:w="1705" w:type="dxa"/>
                  <w:tcBorders>
                    <w:tl2br w:val="nil"/>
                    <w:tr2bl w:val="nil"/>
                  </w:tcBorders>
                  <w:vAlign w:val="center"/>
                </w:tcPr>
                <w:p w14:paraId="4EF497D1">
                  <w:pPr>
                    <w:jc w:val="center"/>
                    <w:rPr>
                      <w:rFonts w:hint="default"/>
                      <w:sz w:val="21"/>
                      <w:szCs w:val="21"/>
                      <w:vertAlign w:val="baseline"/>
                      <w:lang w:eastAsia="zh-CN"/>
                    </w:rPr>
                  </w:pPr>
                  <w:r>
                    <w:rPr>
                      <w:rFonts w:hint="eastAsia"/>
                      <w:sz w:val="21"/>
                      <w:szCs w:val="21"/>
                      <w:vertAlign w:val="baseline"/>
                      <w:lang w:eastAsia="zh-CN"/>
                    </w:rPr>
                    <w:t>储存位置</w:t>
                  </w:r>
                </w:p>
              </w:tc>
            </w:tr>
            <w:tr w14:paraId="3A1C1A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5" w:type="dxa"/>
                  <w:tcBorders>
                    <w:tl2br w:val="nil"/>
                    <w:tr2bl w:val="nil"/>
                  </w:tcBorders>
                  <w:vAlign w:val="center"/>
                </w:tcPr>
                <w:p w14:paraId="24F0EC73">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705" w:type="dxa"/>
                  <w:tcBorders>
                    <w:tl2br w:val="nil"/>
                    <w:tr2bl w:val="nil"/>
                  </w:tcBorders>
                  <w:vAlign w:val="center"/>
                </w:tcPr>
                <w:p w14:paraId="77A36BFF">
                  <w:pPr>
                    <w:jc w:val="center"/>
                    <w:rPr>
                      <w:rFonts w:hint="default"/>
                      <w:sz w:val="21"/>
                      <w:szCs w:val="21"/>
                      <w:vertAlign w:val="baseline"/>
                      <w:lang w:eastAsia="zh-CN"/>
                    </w:rPr>
                  </w:pPr>
                  <w:r>
                    <w:rPr>
                      <w:rFonts w:hint="eastAsia" w:ascii="宋体" w:hAnsi="宋体" w:eastAsia="宋体" w:cs="宋体"/>
                      <w:color w:val="000000"/>
                      <w:kern w:val="0"/>
                      <w:sz w:val="21"/>
                      <w:szCs w:val="21"/>
                      <w:lang w:val="en-US" w:eastAsia="zh-CN" w:bidi="ar"/>
                    </w:rPr>
                    <w:t>丁基胶</w:t>
                  </w:r>
                </w:p>
              </w:tc>
              <w:tc>
                <w:tcPr>
                  <w:tcW w:w="1705" w:type="dxa"/>
                  <w:tcBorders>
                    <w:tl2br w:val="nil"/>
                    <w:tr2bl w:val="nil"/>
                  </w:tcBorders>
                  <w:vAlign w:val="center"/>
                </w:tcPr>
                <w:p w14:paraId="3609D7B7">
                  <w:pPr>
                    <w:jc w:val="center"/>
                    <w:rPr>
                      <w:rFonts w:hint="default"/>
                      <w:sz w:val="21"/>
                      <w:szCs w:val="21"/>
                      <w:vertAlign w:val="baseline"/>
                      <w:lang w:eastAsia="zh-CN"/>
                    </w:rPr>
                  </w:pPr>
                  <w:r>
                    <w:rPr>
                      <w:rFonts w:hint="eastAsia"/>
                      <w:sz w:val="21"/>
                      <w:szCs w:val="21"/>
                      <w:vertAlign w:val="baseline"/>
                      <w:lang w:eastAsia="zh-CN"/>
                    </w:rPr>
                    <w:t>固态</w:t>
                  </w:r>
                </w:p>
              </w:tc>
              <w:tc>
                <w:tcPr>
                  <w:tcW w:w="1705" w:type="dxa"/>
                  <w:tcBorders>
                    <w:tl2br w:val="nil"/>
                    <w:tr2bl w:val="nil"/>
                  </w:tcBorders>
                  <w:vAlign w:val="center"/>
                </w:tcPr>
                <w:p w14:paraId="7CB2D754">
                  <w:pPr>
                    <w:jc w:val="center"/>
                    <w:rPr>
                      <w:rFonts w:hint="default"/>
                      <w:sz w:val="21"/>
                      <w:szCs w:val="21"/>
                      <w:vertAlign w:val="baseline"/>
                      <w:lang w:val="en-US" w:eastAsia="zh-CN"/>
                    </w:rPr>
                  </w:pPr>
                  <w:r>
                    <w:rPr>
                      <w:rFonts w:hint="eastAsia"/>
                      <w:sz w:val="21"/>
                      <w:szCs w:val="21"/>
                      <w:vertAlign w:val="baseline"/>
                      <w:lang w:val="en-US" w:eastAsia="zh-CN"/>
                    </w:rPr>
                    <w:t>2t</w:t>
                  </w:r>
                </w:p>
              </w:tc>
              <w:tc>
                <w:tcPr>
                  <w:tcW w:w="1705" w:type="dxa"/>
                  <w:tcBorders>
                    <w:tl2br w:val="nil"/>
                    <w:tr2bl w:val="nil"/>
                  </w:tcBorders>
                  <w:vAlign w:val="center"/>
                </w:tcPr>
                <w:p w14:paraId="2C519283">
                  <w:pPr>
                    <w:jc w:val="center"/>
                    <w:rPr>
                      <w:rFonts w:hint="default"/>
                      <w:sz w:val="21"/>
                      <w:szCs w:val="21"/>
                      <w:vertAlign w:val="baseline"/>
                      <w:lang w:val="en-US" w:eastAsia="zh-CN"/>
                    </w:rPr>
                  </w:pPr>
                  <w:r>
                    <w:rPr>
                      <w:rFonts w:hint="eastAsia"/>
                      <w:sz w:val="21"/>
                      <w:szCs w:val="21"/>
                      <w:vertAlign w:val="baseline"/>
                      <w:lang w:val="en-US" w:eastAsia="zh-CN"/>
                    </w:rPr>
                    <w:t>库房</w:t>
                  </w:r>
                </w:p>
              </w:tc>
            </w:tr>
            <w:tr w14:paraId="26D737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5" w:type="dxa"/>
                  <w:tcBorders>
                    <w:tl2br w:val="nil"/>
                    <w:tr2bl w:val="nil"/>
                  </w:tcBorders>
                  <w:vAlign w:val="center"/>
                </w:tcPr>
                <w:p w14:paraId="565AD5F3">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705" w:type="dxa"/>
                  <w:tcBorders>
                    <w:tl2br w:val="nil"/>
                    <w:tr2bl w:val="nil"/>
                  </w:tcBorders>
                  <w:vAlign w:val="center"/>
                </w:tcPr>
                <w:p w14:paraId="54124251">
                  <w:pPr>
                    <w:jc w:val="center"/>
                    <w:rPr>
                      <w:rFonts w:hint="default"/>
                      <w:sz w:val="21"/>
                      <w:szCs w:val="21"/>
                      <w:vertAlign w:val="baseline"/>
                      <w:lang w:eastAsia="zh-CN"/>
                    </w:rPr>
                  </w:pPr>
                  <w:r>
                    <w:rPr>
                      <w:rFonts w:hint="eastAsia" w:ascii="宋体" w:hAnsi="宋体" w:eastAsia="宋体" w:cs="宋体"/>
                      <w:color w:val="000000"/>
                      <w:kern w:val="0"/>
                      <w:sz w:val="21"/>
                      <w:szCs w:val="21"/>
                      <w:lang w:val="en-US" w:eastAsia="zh-CN" w:bidi="ar"/>
                    </w:rPr>
                    <w:t>硅酮胶</w:t>
                  </w:r>
                </w:p>
              </w:tc>
              <w:tc>
                <w:tcPr>
                  <w:tcW w:w="1705" w:type="dxa"/>
                  <w:tcBorders>
                    <w:tl2br w:val="nil"/>
                    <w:tr2bl w:val="nil"/>
                  </w:tcBorders>
                  <w:vAlign w:val="center"/>
                </w:tcPr>
                <w:p w14:paraId="02C3CEEC">
                  <w:pPr>
                    <w:jc w:val="center"/>
                    <w:rPr>
                      <w:rFonts w:hint="default"/>
                      <w:sz w:val="21"/>
                      <w:szCs w:val="21"/>
                      <w:vertAlign w:val="baseline"/>
                      <w:lang w:eastAsia="zh-CN"/>
                    </w:rPr>
                  </w:pPr>
                  <w:r>
                    <w:rPr>
                      <w:rFonts w:hint="eastAsia"/>
                      <w:sz w:val="21"/>
                      <w:szCs w:val="21"/>
                      <w:vertAlign w:val="baseline"/>
                      <w:lang w:eastAsia="zh-CN"/>
                    </w:rPr>
                    <w:t>液态</w:t>
                  </w:r>
                </w:p>
              </w:tc>
              <w:tc>
                <w:tcPr>
                  <w:tcW w:w="1705" w:type="dxa"/>
                  <w:tcBorders>
                    <w:tl2br w:val="nil"/>
                    <w:tr2bl w:val="nil"/>
                  </w:tcBorders>
                  <w:vAlign w:val="center"/>
                </w:tcPr>
                <w:p w14:paraId="41EF4262">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705" w:type="dxa"/>
                  <w:tcBorders>
                    <w:tl2br w:val="nil"/>
                    <w:tr2bl w:val="nil"/>
                  </w:tcBorders>
                  <w:vAlign w:val="center"/>
                </w:tcPr>
                <w:p w14:paraId="2DE95360">
                  <w:pPr>
                    <w:jc w:val="center"/>
                    <w:rPr>
                      <w:rFonts w:hint="default"/>
                      <w:sz w:val="21"/>
                      <w:szCs w:val="21"/>
                      <w:vertAlign w:val="baseline"/>
                      <w:lang w:eastAsia="zh-CN"/>
                    </w:rPr>
                  </w:pPr>
                  <w:r>
                    <w:rPr>
                      <w:rFonts w:hint="eastAsia"/>
                      <w:sz w:val="21"/>
                      <w:szCs w:val="21"/>
                      <w:vertAlign w:val="baseline"/>
                      <w:lang w:val="en-US" w:eastAsia="zh-CN"/>
                    </w:rPr>
                    <w:t>库房</w:t>
                  </w:r>
                </w:p>
              </w:tc>
            </w:tr>
            <w:tr w14:paraId="423C78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5" w:type="dxa"/>
                  <w:tcBorders>
                    <w:tl2br w:val="nil"/>
                    <w:tr2bl w:val="nil"/>
                  </w:tcBorders>
                  <w:vAlign w:val="center"/>
                </w:tcPr>
                <w:p w14:paraId="47A0AC4F">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05" w:type="dxa"/>
                  <w:tcBorders>
                    <w:tl2br w:val="nil"/>
                    <w:tr2bl w:val="nil"/>
                  </w:tcBorders>
                  <w:vAlign w:val="center"/>
                </w:tcPr>
                <w:p w14:paraId="57FF0767">
                  <w:pPr>
                    <w:jc w:val="center"/>
                    <w:rPr>
                      <w:rFonts w:hint="default"/>
                      <w:sz w:val="21"/>
                      <w:szCs w:val="21"/>
                      <w:vertAlign w:val="baseline"/>
                      <w:lang w:eastAsia="zh-CN"/>
                    </w:rPr>
                  </w:pPr>
                  <w:r>
                    <w:rPr>
                      <w:rFonts w:hint="eastAsia"/>
                      <w:sz w:val="21"/>
                      <w:szCs w:val="21"/>
                      <w:vertAlign w:val="baseline"/>
                      <w:lang w:eastAsia="zh-CN"/>
                    </w:rPr>
                    <w:t>机油</w:t>
                  </w:r>
                </w:p>
              </w:tc>
              <w:tc>
                <w:tcPr>
                  <w:tcW w:w="1705" w:type="dxa"/>
                  <w:tcBorders>
                    <w:tl2br w:val="nil"/>
                    <w:tr2bl w:val="nil"/>
                  </w:tcBorders>
                  <w:vAlign w:val="center"/>
                </w:tcPr>
                <w:p w14:paraId="2A8E52BC">
                  <w:pPr>
                    <w:jc w:val="center"/>
                    <w:rPr>
                      <w:rFonts w:hint="default"/>
                      <w:sz w:val="21"/>
                      <w:szCs w:val="21"/>
                      <w:vertAlign w:val="baseline"/>
                      <w:lang w:eastAsia="zh-CN"/>
                    </w:rPr>
                  </w:pPr>
                  <w:r>
                    <w:rPr>
                      <w:rFonts w:hint="eastAsia"/>
                      <w:sz w:val="21"/>
                      <w:szCs w:val="21"/>
                      <w:vertAlign w:val="baseline"/>
                      <w:lang w:eastAsia="zh-CN"/>
                    </w:rPr>
                    <w:t>液态</w:t>
                  </w:r>
                </w:p>
              </w:tc>
              <w:tc>
                <w:tcPr>
                  <w:tcW w:w="1705" w:type="dxa"/>
                  <w:tcBorders>
                    <w:tl2br w:val="nil"/>
                    <w:tr2bl w:val="nil"/>
                  </w:tcBorders>
                  <w:vAlign w:val="center"/>
                </w:tcPr>
                <w:p w14:paraId="32051B35">
                  <w:pPr>
                    <w:jc w:val="center"/>
                    <w:rPr>
                      <w:rFonts w:hint="default"/>
                      <w:sz w:val="21"/>
                      <w:szCs w:val="21"/>
                      <w:vertAlign w:val="baseline"/>
                      <w:lang w:val="en-US" w:eastAsia="zh-CN"/>
                    </w:rPr>
                  </w:pPr>
                  <w:r>
                    <w:rPr>
                      <w:rFonts w:hint="eastAsia"/>
                      <w:sz w:val="21"/>
                      <w:szCs w:val="21"/>
                      <w:vertAlign w:val="baseline"/>
                      <w:lang w:val="en-US" w:eastAsia="zh-CN"/>
                    </w:rPr>
                    <w:t>0.2</w:t>
                  </w:r>
                </w:p>
              </w:tc>
              <w:tc>
                <w:tcPr>
                  <w:tcW w:w="1705" w:type="dxa"/>
                  <w:tcBorders>
                    <w:tl2br w:val="nil"/>
                    <w:tr2bl w:val="nil"/>
                  </w:tcBorders>
                  <w:vAlign w:val="center"/>
                </w:tcPr>
                <w:p w14:paraId="74ABB56A">
                  <w:pPr>
                    <w:jc w:val="center"/>
                    <w:rPr>
                      <w:rFonts w:hint="default"/>
                      <w:sz w:val="21"/>
                      <w:szCs w:val="21"/>
                      <w:vertAlign w:val="baseline"/>
                      <w:lang w:eastAsia="zh-CN"/>
                    </w:rPr>
                  </w:pPr>
                  <w:r>
                    <w:rPr>
                      <w:rFonts w:hint="eastAsia"/>
                      <w:sz w:val="21"/>
                      <w:szCs w:val="21"/>
                      <w:vertAlign w:val="baseline"/>
                      <w:lang w:val="en-US" w:eastAsia="zh-CN"/>
                    </w:rPr>
                    <w:t>库房</w:t>
                  </w:r>
                </w:p>
              </w:tc>
            </w:tr>
            <w:tr w14:paraId="1281FF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5" w:type="dxa"/>
                  <w:tcBorders>
                    <w:tl2br w:val="nil"/>
                    <w:tr2bl w:val="nil"/>
                  </w:tcBorders>
                  <w:vAlign w:val="center"/>
                </w:tcPr>
                <w:p w14:paraId="2C33EE81">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705" w:type="dxa"/>
                  <w:tcBorders>
                    <w:tl2br w:val="nil"/>
                    <w:tr2bl w:val="nil"/>
                  </w:tcBorders>
                  <w:vAlign w:val="center"/>
                </w:tcPr>
                <w:p w14:paraId="5CCB6C83">
                  <w:pPr>
                    <w:jc w:val="center"/>
                    <w:rPr>
                      <w:rFonts w:hint="eastAsia"/>
                      <w:sz w:val="21"/>
                      <w:szCs w:val="21"/>
                      <w:vertAlign w:val="baseline"/>
                      <w:lang w:eastAsia="zh-CN"/>
                    </w:rPr>
                  </w:pPr>
                  <w:r>
                    <w:rPr>
                      <w:rFonts w:hint="eastAsia"/>
                      <w:sz w:val="21"/>
                      <w:szCs w:val="21"/>
                      <w:vertAlign w:val="baseline"/>
                      <w:lang w:eastAsia="zh-CN"/>
                    </w:rPr>
                    <w:t>废机油</w:t>
                  </w:r>
                </w:p>
              </w:tc>
              <w:tc>
                <w:tcPr>
                  <w:tcW w:w="1705" w:type="dxa"/>
                  <w:tcBorders>
                    <w:tl2br w:val="nil"/>
                    <w:tr2bl w:val="nil"/>
                  </w:tcBorders>
                  <w:vAlign w:val="center"/>
                </w:tcPr>
                <w:p w14:paraId="51176753">
                  <w:pPr>
                    <w:jc w:val="center"/>
                    <w:rPr>
                      <w:rFonts w:hint="default"/>
                      <w:sz w:val="21"/>
                      <w:szCs w:val="21"/>
                      <w:vertAlign w:val="baseline"/>
                      <w:lang w:eastAsia="zh-CN"/>
                    </w:rPr>
                  </w:pPr>
                  <w:r>
                    <w:rPr>
                      <w:rFonts w:hint="eastAsia"/>
                      <w:sz w:val="21"/>
                      <w:szCs w:val="21"/>
                      <w:vertAlign w:val="baseline"/>
                      <w:lang w:eastAsia="zh-CN"/>
                    </w:rPr>
                    <w:t>液态</w:t>
                  </w:r>
                </w:p>
              </w:tc>
              <w:tc>
                <w:tcPr>
                  <w:tcW w:w="1705" w:type="dxa"/>
                  <w:tcBorders>
                    <w:tl2br w:val="nil"/>
                    <w:tr2bl w:val="nil"/>
                  </w:tcBorders>
                  <w:vAlign w:val="center"/>
                </w:tcPr>
                <w:p w14:paraId="353A7F14">
                  <w:pPr>
                    <w:jc w:val="center"/>
                    <w:rPr>
                      <w:rFonts w:hint="default"/>
                      <w:sz w:val="21"/>
                      <w:szCs w:val="21"/>
                      <w:vertAlign w:val="baseline"/>
                      <w:lang w:val="en-US" w:eastAsia="zh-CN"/>
                    </w:rPr>
                  </w:pPr>
                  <w:r>
                    <w:rPr>
                      <w:rFonts w:hint="eastAsia"/>
                      <w:sz w:val="21"/>
                      <w:szCs w:val="21"/>
                      <w:vertAlign w:val="baseline"/>
                      <w:lang w:val="en-US" w:eastAsia="zh-CN"/>
                    </w:rPr>
                    <w:t>0.1</w:t>
                  </w:r>
                </w:p>
              </w:tc>
              <w:tc>
                <w:tcPr>
                  <w:tcW w:w="1705" w:type="dxa"/>
                  <w:tcBorders>
                    <w:tl2br w:val="nil"/>
                    <w:tr2bl w:val="nil"/>
                  </w:tcBorders>
                  <w:vAlign w:val="center"/>
                </w:tcPr>
                <w:p w14:paraId="2D6760AE">
                  <w:pPr>
                    <w:jc w:val="center"/>
                    <w:rPr>
                      <w:rFonts w:hint="default"/>
                      <w:sz w:val="21"/>
                      <w:szCs w:val="21"/>
                      <w:vertAlign w:val="baseline"/>
                      <w:lang w:eastAsia="zh-CN"/>
                    </w:rPr>
                  </w:pPr>
                  <w:r>
                    <w:rPr>
                      <w:rFonts w:hint="eastAsia"/>
                      <w:sz w:val="21"/>
                      <w:szCs w:val="21"/>
                      <w:vertAlign w:val="baseline"/>
                      <w:lang w:eastAsia="zh-CN"/>
                    </w:rPr>
                    <w:t>危废间</w:t>
                  </w:r>
                </w:p>
              </w:tc>
            </w:tr>
          </w:tbl>
          <w:p w14:paraId="4B1DFB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根据《建设项目环境风险评价技术导则》（HJ169-2018）</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环境</w:t>
            </w:r>
            <w:r>
              <w:rPr>
                <w:rFonts w:hint="default" w:ascii="Times New Roman" w:hAnsi="Times New Roman" w:eastAsia="宋体" w:cs="Times New Roman"/>
                <w:bCs/>
                <w:color w:val="auto"/>
                <w:sz w:val="24"/>
                <w:szCs w:val="24"/>
              </w:rPr>
              <w:t>风险评价</w:t>
            </w:r>
            <w:r>
              <w:rPr>
                <w:rFonts w:hint="default" w:ascii="Times New Roman" w:hAnsi="Times New Roman" w:eastAsia="宋体" w:cs="Times New Roman"/>
                <w:bCs/>
                <w:color w:val="auto"/>
                <w:sz w:val="24"/>
                <w:szCs w:val="24"/>
                <w:lang w:val="en-US" w:eastAsia="zh-CN"/>
              </w:rPr>
              <w:t>工作等级划分为一级、二级、三级。</w:t>
            </w:r>
            <w:r>
              <w:rPr>
                <w:rFonts w:hint="default" w:ascii="Times New Roman" w:hAnsi="Times New Roman" w:eastAsia="宋体" w:cs="Times New Roman"/>
                <w:bCs/>
                <w:color w:val="auto"/>
                <w:sz w:val="24"/>
                <w:szCs w:val="24"/>
              </w:rPr>
              <w:t>根据</w:t>
            </w:r>
            <w:r>
              <w:rPr>
                <w:rFonts w:hint="default" w:ascii="Times New Roman" w:hAnsi="Times New Roman" w:eastAsia="宋体" w:cs="Times New Roman"/>
                <w:bCs/>
                <w:color w:val="auto"/>
                <w:sz w:val="24"/>
                <w:szCs w:val="24"/>
                <w:lang w:val="en-US" w:eastAsia="zh-CN"/>
              </w:rPr>
              <w:t>建设项目涉及的风险物质及工艺系统危险性和所在地的环境敏感性，确定环境风险潜势，按照表</w:t>
            </w:r>
            <w:r>
              <w:rPr>
                <w:rFonts w:hint="eastAsia" w:cs="Times New Roman"/>
                <w:bCs/>
                <w:color w:val="auto"/>
                <w:sz w:val="24"/>
                <w:szCs w:val="24"/>
                <w:lang w:val="en-US" w:eastAsia="zh-CN"/>
              </w:rPr>
              <w:t>4-12</w:t>
            </w:r>
            <w:r>
              <w:rPr>
                <w:rFonts w:hint="default" w:ascii="Times New Roman" w:hAnsi="Times New Roman" w:eastAsia="宋体" w:cs="Times New Roman"/>
                <w:bCs/>
                <w:color w:val="auto"/>
                <w:sz w:val="24"/>
                <w:szCs w:val="24"/>
                <w:lang w:val="en-US" w:eastAsia="zh-CN"/>
              </w:rPr>
              <w:t>确定环境风险评价工作等级</w:t>
            </w:r>
            <w:r>
              <w:rPr>
                <w:rFonts w:hint="default" w:ascii="Times New Roman" w:hAnsi="Times New Roman" w:eastAsia="宋体" w:cs="Times New Roman"/>
                <w:bCs/>
                <w:color w:val="auto"/>
                <w:sz w:val="24"/>
                <w:szCs w:val="24"/>
              </w:rPr>
              <w:t>。</w:t>
            </w:r>
          </w:p>
          <w:p w14:paraId="175C518A">
            <w:pPr>
              <w:snapToGrid w:val="0"/>
              <w:spacing w:line="360" w:lineRule="auto"/>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w:t>
            </w:r>
            <w:r>
              <w:rPr>
                <w:rFonts w:hint="eastAsia" w:ascii="Times New Roman" w:hAnsi="Times New Roman" w:eastAsia="宋体" w:cs="Times New Roman"/>
                <w:b/>
                <w:color w:val="auto"/>
                <w:sz w:val="21"/>
                <w:szCs w:val="21"/>
                <w:lang w:val="en-US" w:eastAsia="zh-CN"/>
              </w:rPr>
              <w:t>4-</w:t>
            </w:r>
            <w:r>
              <w:rPr>
                <w:rFonts w:hint="eastAsia" w:cs="Times New Roman"/>
                <w:b/>
                <w:color w:val="auto"/>
                <w:sz w:val="21"/>
                <w:szCs w:val="21"/>
                <w:lang w:val="en-US" w:eastAsia="zh-CN"/>
              </w:rPr>
              <w:t>12</w:t>
            </w:r>
            <w:r>
              <w:rPr>
                <w:rFonts w:hint="default" w:ascii="Times New Roman" w:hAnsi="Times New Roman" w:eastAsia="宋体" w:cs="Times New Roman"/>
                <w:b/>
                <w:color w:val="auto"/>
                <w:sz w:val="21"/>
                <w:szCs w:val="21"/>
                <w:lang w:val="en-US" w:eastAsia="zh-CN"/>
              </w:rPr>
              <w:t xml:space="preserve">  评价工作等级划分</w:t>
            </w:r>
          </w:p>
          <w:tbl>
            <w:tblPr>
              <w:tblStyle w:val="19"/>
              <w:tblW w:w="498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692"/>
              <w:gridCol w:w="1616"/>
              <w:gridCol w:w="1646"/>
              <w:gridCol w:w="1639"/>
            </w:tblGrid>
            <w:tr w14:paraId="6DDACF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9" w:hRule="atLeast"/>
              </w:trPr>
              <w:tc>
                <w:tcPr>
                  <w:tcW w:w="1083" w:type="pct"/>
                  <w:tcBorders>
                    <w:tl2br w:val="nil"/>
                    <w:tr2bl w:val="nil"/>
                  </w:tcBorders>
                  <w:noWrap w:val="0"/>
                  <w:vAlign w:val="center"/>
                </w:tcPr>
                <w:p w14:paraId="18BEE1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环境风险潜势</w:t>
                  </w:r>
                </w:p>
              </w:tc>
              <w:tc>
                <w:tcPr>
                  <w:tcW w:w="1005" w:type="pct"/>
                  <w:tcBorders>
                    <w:tl2br w:val="nil"/>
                    <w:tr2bl w:val="nil"/>
                  </w:tcBorders>
                  <w:noWrap w:val="0"/>
                  <w:vAlign w:val="center"/>
                </w:tcPr>
                <w:p w14:paraId="423764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Ⅳ</w:t>
                  </w:r>
                  <w:r>
                    <w:rPr>
                      <w:rFonts w:hint="default" w:ascii="Times New Roman" w:hAnsi="Times New Roman" w:eastAsia="宋体" w:cs="Times New Roman"/>
                      <w:color w:val="auto"/>
                      <w:sz w:val="21"/>
                      <w:szCs w:val="21"/>
                      <w:lang w:val="en-US" w:eastAsia="zh-CN"/>
                    </w:rPr>
                    <w:t>+</w:t>
                  </w:r>
                </w:p>
              </w:tc>
              <w:tc>
                <w:tcPr>
                  <w:tcW w:w="960" w:type="pct"/>
                  <w:tcBorders>
                    <w:tl2br w:val="nil"/>
                    <w:tr2bl w:val="nil"/>
                  </w:tcBorders>
                  <w:noWrap w:val="0"/>
                  <w:vAlign w:val="center"/>
                </w:tcPr>
                <w:p w14:paraId="50413A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Ⅲ</w:t>
                  </w:r>
                </w:p>
              </w:tc>
              <w:tc>
                <w:tcPr>
                  <w:tcW w:w="978" w:type="pct"/>
                  <w:tcBorders>
                    <w:tl2br w:val="nil"/>
                    <w:tr2bl w:val="nil"/>
                  </w:tcBorders>
                  <w:noWrap w:val="0"/>
                  <w:vAlign w:val="center"/>
                </w:tcPr>
                <w:p w14:paraId="26CC8B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Ⅱ</w:t>
                  </w:r>
                </w:p>
              </w:tc>
              <w:tc>
                <w:tcPr>
                  <w:tcW w:w="970" w:type="pct"/>
                  <w:tcBorders>
                    <w:tl2br w:val="nil"/>
                    <w:tr2bl w:val="nil"/>
                  </w:tcBorders>
                  <w:noWrap w:val="0"/>
                  <w:vAlign w:val="center"/>
                </w:tcPr>
                <w:p w14:paraId="4CBD7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Ⅰ</w:t>
                  </w:r>
                </w:p>
              </w:tc>
            </w:tr>
            <w:tr w14:paraId="5A42C5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083" w:type="pct"/>
                  <w:tcBorders>
                    <w:tl2br w:val="nil"/>
                    <w:tr2bl w:val="nil"/>
                  </w:tcBorders>
                  <w:shd w:val="clear" w:color="auto" w:fill="auto"/>
                  <w:noWrap w:val="0"/>
                  <w:vAlign w:val="center"/>
                </w:tcPr>
                <w:p w14:paraId="1D09EC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评价工作等级</w:t>
                  </w:r>
                </w:p>
              </w:tc>
              <w:tc>
                <w:tcPr>
                  <w:tcW w:w="1005" w:type="pct"/>
                  <w:tcBorders>
                    <w:tl2br w:val="nil"/>
                    <w:tr2bl w:val="nil"/>
                  </w:tcBorders>
                  <w:shd w:val="clear" w:color="auto" w:fill="auto"/>
                  <w:noWrap w:val="0"/>
                  <w:vAlign w:val="center"/>
                </w:tcPr>
                <w:p w14:paraId="67D1F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w:t>
                  </w:r>
                </w:p>
              </w:tc>
              <w:tc>
                <w:tcPr>
                  <w:tcW w:w="960" w:type="pct"/>
                  <w:tcBorders>
                    <w:tl2br w:val="nil"/>
                    <w:tr2bl w:val="nil"/>
                  </w:tcBorders>
                  <w:shd w:val="clear" w:color="auto" w:fill="auto"/>
                  <w:noWrap w:val="0"/>
                  <w:vAlign w:val="center"/>
                </w:tcPr>
                <w:p w14:paraId="13E667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w:t>
                  </w:r>
                </w:p>
              </w:tc>
              <w:tc>
                <w:tcPr>
                  <w:tcW w:w="978" w:type="pct"/>
                  <w:tcBorders>
                    <w:tl2br w:val="nil"/>
                    <w:tr2bl w:val="nil"/>
                  </w:tcBorders>
                  <w:shd w:val="clear" w:color="auto" w:fill="auto"/>
                  <w:noWrap w:val="0"/>
                  <w:vAlign w:val="center"/>
                </w:tcPr>
                <w:p w14:paraId="057D2F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w:t>
                  </w:r>
                </w:p>
              </w:tc>
              <w:tc>
                <w:tcPr>
                  <w:tcW w:w="970" w:type="pct"/>
                  <w:tcBorders>
                    <w:tl2br w:val="nil"/>
                    <w:tr2bl w:val="nil"/>
                  </w:tcBorders>
                  <w:shd w:val="clear" w:color="auto" w:fill="BEBEBE"/>
                  <w:noWrap w:val="0"/>
                  <w:vAlign w:val="center"/>
                </w:tcPr>
                <w:p w14:paraId="11DB5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简单分析 a</w:t>
                  </w:r>
                </w:p>
              </w:tc>
            </w:tr>
            <w:tr w14:paraId="4DABD1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000" w:type="pct"/>
                  <w:gridSpan w:val="5"/>
                  <w:tcBorders>
                    <w:tl2br w:val="nil"/>
                    <w:tr2bl w:val="nil"/>
                  </w:tcBorders>
                  <w:noWrap w:val="0"/>
                  <w:vAlign w:val="center"/>
                </w:tcPr>
                <w:p w14:paraId="16A2FC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 xml:space="preserve">a    </w:t>
                  </w:r>
                  <w:r>
                    <w:rPr>
                      <w:rFonts w:hint="default" w:ascii="Times New Roman" w:hAnsi="Times New Roman" w:eastAsia="宋体" w:cs="Times New Roman"/>
                      <w:color w:val="auto"/>
                      <w:sz w:val="21"/>
                      <w:szCs w:val="21"/>
                      <w:lang w:val="en-US" w:eastAsia="zh-CN"/>
                    </w:rPr>
                    <w:t>是相对于详细评价工作内容而言，在描述危险物质、环境影响途径、环境危害后果、风险防范措施等方面给 出定性的说明。见附录 A。</w:t>
                  </w:r>
                </w:p>
              </w:tc>
            </w:tr>
          </w:tbl>
          <w:p w14:paraId="13D68307">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根据《建设项目环境风险评价技术导则》（HJ169-2018）附录C，计算所涉及的每种危险物质在厂界内的最大存在总量与其在附录B中对应临界量的比值（Q），在不同厂区的同一种物质，按其在厂界内的最大存在总量计算。当只涉及一种危险物质时，计算该物质的总量与其临界量比值，即为Q；</w:t>
            </w:r>
          </w:p>
          <w:p w14:paraId="2570EEE9">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当存在多种危险物质时，则技下式计算物质总量与其临界量比值Q：</w:t>
            </w:r>
          </w:p>
          <w:p w14:paraId="3C0D0E10">
            <w:pPr>
              <w:snapToGrid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object>
                <v:shape id="_x0000_i1030" o:spt="75" type="#_x0000_t75" style="height:36pt;width:106.5pt;" o:ole="t" filled="f" o:preferrelative="t" stroked="f" coordsize="21600,21600">
                  <v:path/>
                  <v:fill on="f" focussize="0,0"/>
                  <v:stroke on="f"/>
                  <v:imagedata r:id="rId24" o:title=""/>
                  <o:lock v:ext="edit" aspectratio="t"/>
                  <w10:wrap type="none"/>
                  <w10:anchorlock/>
                </v:shape>
                <o:OLEObject Type="Embed" ProgID="Equation.KSEE3" ShapeID="_x0000_i1030" DrawAspect="Content" ObjectID="_1468075731" r:id="rId23">
                  <o:LockedField>false</o:LockedField>
                </o:OLEObject>
              </w:object>
            </w:r>
          </w:p>
          <w:p w14:paraId="2F32F92F">
            <w:pPr>
              <w:snapToGrid w:val="0"/>
              <w:spacing w:line="360" w:lineRule="auto"/>
              <w:ind w:firstLine="480" w:firstLineChars="200"/>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式中：q1，q2……qn——每种危险物质的最大存在总量，t；</w:t>
            </w:r>
          </w:p>
          <w:p w14:paraId="154881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 xml:space="preserve">      Q1，Q2……Qn——各种危险物质的临界量，t</w:t>
            </w:r>
          </w:p>
          <w:p w14:paraId="1B7903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当Q&lt;1时，该项目环境风险潜势为I。</w:t>
            </w:r>
          </w:p>
          <w:p w14:paraId="193590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当Q≥1时，将Q值划分为：⑴1≤Q&lt;10；⑵10≤Q&lt;100；⑶Q≥100。</w:t>
            </w:r>
          </w:p>
          <w:p w14:paraId="0036D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kern w:val="0"/>
                <w:sz w:val="24"/>
                <w:szCs w:val="24"/>
                <w:lang w:val="de-DE"/>
              </w:rPr>
            </w:pPr>
            <w:r>
              <w:rPr>
                <w:rFonts w:hint="default" w:ascii="Times New Roman" w:hAnsi="Times New Roman" w:eastAsia="宋体" w:cs="Times New Roman"/>
                <w:bCs/>
                <w:color w:val="auto"/>
                <w:sz w:val="24"/>
                <w:szCs w:val="24"/>
                <w:lang w:val="en-US" w:eastAsia="zh-CN"/>
              </w:rPr>
              <w:t>根据《建设项目环境风险评价技术导则》（HJ169-2018），本项目原辅料存储情况分析识别，项目</w:t>
            </w:r>
            <w:r>
              <w:rPr>
                <w:rFonts w:hint="default" w:ascii="Times New Roman" w:hAnsi="Times New Roman" w:cs="Times New Roman"/>
                <w:bCs/>
                <w:color w:val="auto"/>
                <w:sz w:val="24"/>
                <w:szCs w:val="24"/>
                <w:lang w:val="en-US" w:eastAsia="zh-CN"/>
              </w:rPr>
              <w:t>使用的</w:t>
            </w:r>
            <w:r>
              <w:rPr>
                <w:rFonts w:hint="eastAsia" w:cs="Times New Roman"/>
                <w:bCs/>
                <w:color w:val="auto"/>
                <w:sz w:val="24"/>
                <w:szCs w:val="24"/>
                <w:lang w:val="en-US" w:eastAsia="zh-CN"/>
              </w:rPr>
              <w:t>机油、废机油</w:t>
            </w:r>
            <w:r>
              <w:rPr>
                <w:rFonts w:hint="default" w:ascii="Times New Roman" w:hAnsi="Times New Roman" w:eastAsia="宋体" w:cs="Times New Roman"/>
                <w:bCs/>
                <w:color w:val="auto"/>
                <w:sz w:val="24"/>
                <w:szCs w:val="24"/>
                <w:lang w:val="en-US" w:eastAsia="zh-CN"/>
              </w:rPr>
              <w:t>属于《建设项目环境风险评价技术导则》（HJ169-2018）中列明的有毒物质、易燃物质、爆炸性物质和活性化学物质等危险性物质，</w:t>
            </w:r>
            <w:r>
              <w:rPr>
                <w:rFonts w:hint="default" w:ascii="Times New Roman" w:hAnsi="Times New Roman" w:eastAsia="宋体" w:cs="Times New Roman"/>
                <w:sz w:val="24"/>
                <w:szCs w:val="24"/>
                <w:lang w:val="de-DE"/>
              </w:rPr>
              <w:t>根据</w:t>
            </w:r>
            <w:r>
              <w:rPr>
                <w:rFonts w:hint="default" w:ascii="Times New Roman" w:hAnsi="Times New Roman" w:eastAsia="宋体" w:cs="Times New Roman"/>
                <w:spacing w:val="5"/>
                <w:kern w:val="0"/>
                <w:sz w:val="24"/>
                <w:szCs w:val="24"/>
              </w:rPr>
              <w:t>《建设项目环境风险评价技术导则》</w:t>
            </w:r>
            <w:r>
              <w:rPr>
                <w:rFonts w:hint="default" w:ascii="Times New Roman" w:hAnsi="Times New Roman" w:eastAsia="宋体" w:cs="Times New Roman"/>
                <w:sz w:val="24"/>
                <w:szCs w:val="24"/>
                <w:lang w:val="de-DE"/>
              </w:rPr>
              <w:t>（HJ169-2018）附录C.1.1，对项目</w:t>
            </w:r>
            <w:r>
              <w:rPr>
                <w:rFonts w:hint="default" w:ascii="Times New Roman" w:hAnsi="Times New Roman" w:eastAsia="宋体" w:cs="Times New Roman"/>
                <w:kern w:val="0"/>
                <w:sz w:val="24"/>
                <w:szCs w:val="24"/>
                <w:lang w:val="de-DE"/>
              </w:rPr>
              <w:t>危险物质数量与临界量的</w:t>
            </w:r>
            <w:r>
              <w:rPr>
                <w:rFonts w:hint="default" w:ascii="Times New Roman" w:hAnsi="Times New Roman" w:eastAsia="宋体" w:cs="Times New Roman"/>
                <w:spacing w:val="5"/>
                <w:kern w:val="0"/>
                <w:sz w:val="24"/>
                <w:szCs w:val="24"/>
              </w:rPr>
              <w:t>比值</w:t>
            </w:r>
            <w:r>
              <w:rPr>
                <w:rFonts w:hint="default" w:ascii="Times New Roman" w:hAnsi="Times New Roman" w:eastAsia="宋体" w:cs="Times New Roman"/>
                <w:kern w:val="0"/>
                <w:sz w:val="24"/>
                <w:szCs w:val="24"/>
                <w:lang w:val="de-DE"/>
              </w:rPr>
              <w:t>进行计算，计算结果见表</w:t>
            </w:r>
            <w:r>
              <w:rPr>
                <w:rFonts w:hint="default" w:ascii="Times New Roman" w:hAnsi="Times New Roman" w:cs="Times New Roman"/>
                <w:kern w:val="0"/>
                <w:sz w:val="24"/>
                <w:szCs w:val="24"/>
                <w:lang w:val="en-US" w:eastAsia="zh-CN"/>
              </w:rPr>
              <w:t>4</w:t>
            </w:r>
            <w:r>
              <w:rPr>
                <w:rFonts w:hint="default" w:ascii="Times New Roman" w:hAnsi="Times New Roman" w:cs="Times New Roman"/>
                <w:kern w:val="0"/>
                <w:sz w:val="24"/>
                <w:szCs w:val="24"/>
              </w:rPr>
              <w:t>-1</w:t>
            </w:r>
            <w:r>
              <w:rPr>
                <w:rFonts w:hint="default" w:ascii="Times New Roman" w:hAnsi="Times New Roman" w:cs="Times New Roman"/>
                <w:kern w:val="0"/>
                <w:sz w:val="24"/>
                <w:szCs w:val="24"/>
                <w:lang w:val="en-US" w:eastAsia="zh-CN"/>
              </w:rPr>
              <w:t>3</w:t>
            </w:r>
            <w:r>
              <w:rPr>
                <w:rFonts w:hint="default" w:ascii="Times New Roman" w:hAnsi="Times New Roman" w:eastAsia="宋体" w:cs="Times New Roman"/>
                <w:kern w:val="0"/>
                <w:sz w:val="24"/>
                <w:szCs w:val="24"/>
                <w:lang w:val="de-DE"/>
              </w:rPr>
              <w:t>。</w:t>
            </w:r>
          </w:p>
          <w:p w14:paraId="02F634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center"/>
              <w:textAlignment w:val="auto"/>
              <w:rPr>
                <w:rFonts w:hint="default"/>
                <w:b/>
                <w:sz w:val="21"/>
                <w:szCs w:val="24"/>
              </w:rPr>
            </w:pPr>
            <w:r>
              <w:rPr>
                <w:rFonts w:hint="eastAsia" w:eastAsia="宋体"/>
                <w:b/>
                <w:sz w:val="21"/>
                <w:szCs w:val="21"/>
              </w:rPr>
              <w:t>表</w:t>
            </w:r>
            <w:r>
              <w:rPr>
                <w:rFonts w:hint="eastAsia"/>
                <w:b/>
                <w:sz w:val="21"/>
                <w:szCs w:val="21"/>
                <w:lang w:val="en-US" w:eastAsia="zh-CN"/>
              </w:rPr>
              <w:t>4</w:t>
            </w:r>
            <w:r>
              <w:rPr>
                <w:rFonts w:hint="default"/>
                <w:b/>
                <w:sz w:val="21"/>
                <w:szCs w:val="21"/>
              </w:rPr>
              <w:t>-1</w:t>
            </w:r>
            <w:r>
              <w:rPr>
                <w:rFonts w:hint="eastAsia"/>
                <w:b/>
                <w:sz w:val="21"/>
                <w:szCs w:val="21"/>
                <w:lang w:val="en-US" w:eastAsia="zh-CN"/>
              </w:rPr>
              <w:t>3</w:t>
            </w:r>
            <w:r>
              <w:rPr>
                <w:rFonts w:hint="default"/>
                <w:b/>
                <w:sz w:val="21"/>
                <w:szCs w:val="21"/>
              </w:rPr>
              <w:t xml:space="preserve">  </w:t>
            </w:r>
            <w:r>
              <w:rPr>
                <w:rFonts w:hint="eastAsia" w:eastAsia="宋体"/>
                <w:b/>
                <w:sz w:val="21"/>
                <w:szCs w:val="21"/>
              </w:rPr>
              <w:t>建设项目Q值确定表</w:t>
            </w:r>
          </w:p>
          <w:tbl>
            <w:tblPr>
              <w:tblStyle w:val="19"/>
              <w:tblW w:w="83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66"/>
              <w:gridCol w:w="1519"/>
              <w:gridCol w:w="921"/>
              <w:gridCol w:w="1905"/>
              <w:gridCol w:w="1312"/>
              <w:gridCol w:w="1994"/>
            </w:tblGrid>
            <w:tr w14:paraId="29AE3A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6" w:type="dxa"/>
                  <w:tcBorders>
                    <w:tl2br w:val="nil"/>
                    <w:tr2bl w:val="nil"/>
                  </w:tcBorders>
                  <w:noWrap w:val="0"/>
                  <w:vAlign w:val="center"/>
                </w:tcPr>
                <w:p w14:paraId="6F177575">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eastAsia" w:ascii="Times New Roman" w:hAnsi="Times New Roman" w:eastAsia="宋体" w:cs="Times New Roman"/>
                      <w:kern w:val="0"/>
                      <w:sz w:val="21"/>
                      <w:szCs w:val="21"/>
                      <w:lang w:eastAsia="en-US"/>
                    </w:rPr>
                    <w:t>序号</w:t>
                  </w:r>
                </w:p>
              </w:tc>
              <w:tc>
                <w:tcPr>
                  <w:tcW w:w="1519" w:type="dxa"/>
                  <w:tcBorders>
                    <w:tl2br w:val="nil"/>
                    <w:tr2bl w:val="nil"/>
                  </w:tcBorders>
                  <w:noWrap w:val="0"/>
                  <w:vAlign w:val="center"/>
                </w:tcPr>
                <w:p w14:paraId="5BF57119">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eastAsia" w:ascii="Times New Roman" w:hAnsi="Times New Roman" w:eastAsia="宋体" w:cs="Times New Roman"/>
                      <w:kern w:val="0"/>
                      <w:sz w:val="21"/>
                      <w:szCs w:val="21"/>
                      <w:lang w:eastAsia="en-US"/>
                    </w:rPr>
                    <w:t>危险物质名称</w:t>
                  </w:r>
                </w:p>
              </w:tc>
              <w:tc>
                <w:tcPr>
                  <w:tcW w:w="921" w:type="dxa"/>
                  <w:tcBorders>
                    <w:tl2br w:val="nil"/>
                    <w:tr2bl w:val="nil"/>
                  </w:tcBorders>
                  <w:noWrap w:val="0"/>
                  <w:vAlign w:val="center"/>
                </w:tcPr>
                <w:p w14:paraId="05636AA0">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CAS</w:t>
                  </w:r>
                  <w:r>
                    <w:rPr>
                      <w:rFonts w:hint="eastAsia" w:ascii="Times New Roman" w:hAnsi="Times New Roman" w:eastAsia="宋体" w:cs="Times New Roman"/>
                      <w:kern w:val="0"/>
                      <w:sz w:val="21"/>
                      <w:szCs w:val="21"/>
                      <w:lang w:eastAsia="en-US"/>
                    </w:rPr>
                    <w:t>号</w:t>
                  </w:r>
                </w:p>
              </w:tc>
              <w:tc>
                <w:tcPr>
                  <w:tcW w:w="1905" w:type="dxa"/>
                  <w:tcBorders>
                    <w:tl2br w:val="nil"/>
                    <w:tr2bl w:val="nil"/>
                  </w:tcBorders>
                  <w:noWrap w:val="0"/>
                  <w:vAlign w:val="center"/>
                </w:tcPr>
                <w:p w14:paraId="2839976E">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eastAsia" w:ascii="Times New Roman" w:hAnsi="Times New Roman" w:eastAsia="宋体" w:cs="Times New Roman"/>
                      <w:kern w:val="0"/>
                      <w:sz w:val="21"/>
                      <w:szCs w:val="21"/>
                      <w:lang w:eastAsia="en-US"/>
                    </w:rPr>
                    <w:t>最大存在总量</w:t>
                  </w:r>
                  <w:r>
                    <w:rPr>
                      <w:rFonts w:hint="default" w:ascii="Times New Roman" w:hAnsi="Times New Roman" w:eastAsia="宋体" w:cs="Times New Roman"/>
                      <w:kern w:val="0"/>
                      <w:sz w:val="21"/>
                      <w:szCs w:val="21"/>
                      <w:lang w:eastAsia="en-US"/>
                    </w:rPr>
                    <w:t>qn/t</w:t>
                  </w:r>
                </w:p>
              </w:tc>
              <w:tc>
                <w:tcPr>
                  <w:tcW w:w="1312" w:type="dxa"/>
                  <w:tcBorders>
                    <w:tl2br w:val="nil"/>
                    <w:tr2bl w:val="nil"/>
                  </w:tcBorders>
                  <w:noWrap w:val="0"/>
                  <w:vAlign w:val="center"/>
                </w:tcPr>
                <w:p w14:paraId="69E539F0">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eastAsia" w:ascii="Times New Roman" w:hAnsi="Times New Roman" w:eastAsia="宋体" w:cs="Times New Roman"/>
                      <w:kern w:val="0"/>
                      <w:sz w:val="21"/>
                      <w:szCs w:val="21"/>
                      <w:lang w:eastAsia="en-US"/>
                    </w:rPr>
                    <w:t>临界量</w:t>
                  </w:r>
                  <w:r>
                    <w:rPr>
                      <w:rFonts w:hint="default" w:ascii="Times New Roman" w:hAnsi="Times New Roman" w:eastAsia="宋体" w:cs="Times New Roman"/>
                      <w:kern w:val="0"/>
                      <w:sz w:val="21"/>
                      <w:szCs w:val="21"/>
                      <w:lang w:eastAsia="en-US"/>
                    </w:rPr>
                    <w:t>Qn/t</w:t>
                  </w:r>
                </w:p>
              </w:tc>
              <w:tc>
                <w:tcPr>
                  <w:tcW w:w="1994" w:type="dxa"/>
                  <w:tcBorders>
                    <w:tl2br w:val="nil"/>
                    <w:tr2bl w:val="nil"/>
                  </w:tcBorders>
                  <w:noWrap w:val="0"/>
                  <w:vAlign w:val="center"/>
                </w:tcPr>
                <w:p w14:paraId="06A83615">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eastAsia" w:ascii="Times New Roman" w:hAnsi="Times New Roman" w:eastAsia="宋体" w:cs="Times New Roman"/>
                      <w:kern w:val="0"/>
                      <w:sz w:val="21"/>
                      <w:szCs w:val="21"/>
                      <w:lang w:eastAsia="en-US"/>
                    </w:rPr>
                    <w:t>该种危险物质</w:t>
                  </w:r>
                  <w:r>
                    <w:rPr>
                      <w:rFonts w:hint="default" w:ascii="Times New Roman" w:hAnsi="Times New Roman" w:eastAsia="宋体" w:cs="Times New Roman"/>
                      <w:kern w:val="0"/>
                      <w:sz w:val="21"/>
                      <w:szCs w:val="21"/>
                      <w:lang w:eastAsia="en-US"/>
                    </w:rPr>
                    <w:t>Q</w:t>
                  </w:r>
                  <w:r>
                    <w:rPr>
                      <w:rFonts w:hint="eastAsia" w:ascii="Times New Roman" w:hAnsi="Times New Roman" w:eastAsia="宋体" w:cs="Times New Roman"/>
                      <w:kern w:val="0"/>
                      <w:sz w:val="21"/>
                      <w:szCs w:val="21"/>
                      <w:lang w:eastAsia="en-US"/>
                    </w:rPr>
                    <w:t>值</w:t>
                  </w:r>
                </w:p>
              </w:tc>
            </w:tr>
            <w:tr w14:paraId="20A4BE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6" w:type="dxa"/>
                  <w:tcBorders>
                    <w:tl2br w:val="nil"/>
                    <w:tr2bl w:val="nil"/>
                  </w:tcBorders>
                  <w:noWrap w:val="0"/>
                  <w:vAlign w:val="center"/>
                </w:tcPr>
                <w:p w14:paraId="24C627A9">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1</w:t>
                  </w:r>
                </w:p>
              </w:tc>
              <w:tc>
                <w:tcPr>
                  <w:tcW w:w="1519" w:type="dxa"/>
                  <w:tcBorders>
                    <w:tl2br w:val="nil"/>
                    <w:tr2bl w:val="nil"/>
                  </w:tcBorders>
                  <w:noWrap w:val="0"/>
                  <w:vAlign w:val="center"/>
                </w:tcPr>
                <w:p w14:paraId="3A3E5E43">
                  <w:pPr>
                    <w:jc w:val="center"/>
                    <w:rPr>
                      <w:rFonts w:hint="eastAsia" w:ascii="Times New Roman" w:hAnsi="Times New Roman" w:eastAsia="宋体" w:cs="Times New Roman"/>
                      <w:kern w:val="0"/>
                      <w:sz w:val="21"/>
                      <w:szCs w:val="21"/>
                      <w:lang w:eastAsia="en-US"/>
                    </w:rPr>
                  </w:pPr>
                  <w:r>
                    <w:rPr>
                      <w:rFonts w:hint="eastAsia" w:ascii="宋体" w:hAnsi="宋体" w:eastAsia="宋体" w:cs="宋体"/>
                      <w:color w:val="000000"/>
                      <w:kern w:val="0"/>
                      <w:sz w:val="21"/>
                      <w:szCs w:val="21"/>
                      <w:lang w:val="en-US" w:eastAsia="zh-CN" w:bidi="ar"/>
                    </w:rPr>
                    <w:t>丁基胶</w:t>
                  </w:r>
                </w:p>
              </w:tc>
              <w:tc>
                <w:tcPr>
                  <w:tcW w:w="921" w:type="dxa"/>
                  <w:tcBorders>
                    <w:tl2br w:val="nil"/>
                    <w:tr2bl w:val="nil"/>
                  </w:tcBorders>
                  <w:noWrap w:val="0"/>
                  <w:vAlign w:val="center"/>
                </w:tcPr>
                <w:p w14:paraId="74B08C23">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t>
                  </w:r>
                </w:p>
              </w:tc>
              <w:tc>
                <w:tcPr>
                  <w:tcW w:w="1905" w:type="dxa"/>
                  <w:tcBorders>
                    <w:tl2br w:val="nil"/>
                    <w:tr2bl w:val="nil"/>
                  </w:tcBorders>
                  <w:noWrap w:val="0"/>
                  <w:vAlign w:val="center"/>
                </w:tcPr>
                <w:p w14:paraId="0C7E8006">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6</w:t>
                  </w:r>
                </w:p>
              </w:tc>
              <w:tc>
                <w:tcPr>
                  <w:tcW w:w="1312" w:type="dxa"/>
                  <w:tcBorders>
                    <w:tl2br w:val="nil"/>
                    <w:tr2bl w:val="nil"/>
                  </w:tcBorders>
                  <w:noWrap w:val="0"/>
                  <w:vAlign w:val="center"/>
                </w:tcPr>
                <w:p w14:paraId="1000316B">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50</w:t>
                  </w:r>
                </w:p>
              </w:tc>
              <w:tc>
                <w:tcPr>
                  <w:tcW w:w="1994" w:type="dxa"/>
                  <w:tcBorders>
                    <w:tl2br w:val="nil"/>
                    <w:tr2bl w:val="nil"/>
                  </w:tcBorders>
                  <w:noWrap w:val="0"/>
                  <w:vAlign w:val="center"/>
                </w:tcPr>
                <w:p w14:paraId="1302D198">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0.12</w:t>
                  </w:r>
                </w:p>
              </w:tc>
            </w:tr>
            <w:tr w14:paraId="659434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66" w:type="dxa"/>
                  <w:tcBorders>
                    <w:tl2br w:val="nil"/>
                    <w:tr2bl w:val="nil"/>
                  </w:tcBorders>
                  <w:noWrap w:val="0"/>
                  <w:vAlign w:val="center"/>
                </w:tcPr>
                <w:p w14:paraId="37858697">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2</w:t>
                  </w:r>
                </w:p>
              </w:tc>
              <w:tc>
                <w:tcPr>
                  <w:tcW w:w="1519" w:type="dxa"/>
                  <w:tcBorders>
                    <w:tl2br w:val="nil"/>
                    <w:tr2bl w:val="nil"/>
                  </w:tcBorders>
                  <w:noWrap w:val="0"/>
                  <w:vAlign w:val="center"/>
                </w:tcPr>
                <w:p w14:paraId="4E6AF3F3">
                  <w:pPr>
                    <w:jc w:val="center"/>
                    <w:rPr>
                      <w:rFonts w:hint="eastAsia" w:ascii="Times New Roman" w:hAnsi="Times New Roman" w:eastAsia="宋体" w:cs="Times New Roman"/>
                      <w:kern w:val="0"/>
                      <w:sz w:val="21"/>
                      <w:szCs w:val="21"/>
                      <w:lang w:eastAsia="en-US"/>
                    </w:rPr>
                  </w:pPr>
                  <w:r>
                    <w:rPr>
                      <w:rFonts w:hint="eastAsia" w:ascii="宋体" w:hAnsi="宋体" w:eastAsia="宋体" w:cs="宋体"/>
                      <w:color w:val="000000"/>
                      <w:kern w:val="0"/>
                      <w:sz w:val="21"/>
                      <w:szCs w:val="21"/>
                      <w:lang w:val="en-US" w:eastAsia="zh-CN" w:bidi="ar"/>
                    </w:rPr>
                    <w:t>硅酮胶</w:t>
                  </w:r>
                </w:p>
              </w:tc>
              <w:tc>
                <w:tcPr>
                  <w:tcW w:w="921" w:type="dxa"/>
                  <w:tcBorders>
                    <w:tl2br w:val="nil"/>
                    <w:tr2bl w:val="nil"/>
                  </w:tcBorders>
                  <w:noWrap w:val="0"/>
                  <w:vAlign w:val="center"/>
                </w:tcPr>
                <w:p w14:paraId="62A3E5D6">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t>
                  </w:r>
                </w:p>
              </w:tc>
              <w:tc>
                <w:tcPr>
                  <w:tcW w:w="1905" w:type="dxa"/>
                  <w:tcBorders>
                    <w:tl2br w:val="nil"/>
                    <w:tr2bl w:val="nil"/>
                  </w:tcBorders>
                  <w:noWrap w:val="0"/>
                  <w:vAlign w:val="center"/>
                </w:tcPr>
                <w:p w14:paraId="0DAAB00B">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2</w:t>
                  </w:r>
                </w:p>
              </w:tc>
              <w:tc>
                <w:tcPr>
                  <w:tcW w:w="1312" w:type="dxa"/>
                  <w:tcBorders>
                    <w:tl2br w:val="nil"/>
                    <w:tr2bl w:val="nil"/>
                  </w:tcBorders>
                  <w:noWrap w:val="0"/>
                  <w:vAlign w:val="center"/>
                </w:tcPr>
                <w:p w14:paraId="484BF57A">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50</w:t>
                  </w:r>
                </w:p>
              </w:tc>
              <w:tc>
                <w:tcPr>
                  <w:tcW w:w="1994" w:type="dxa"/>
                  <w:tcBorders>
                    <w:tl2br w:val="nil"/>
                    <w:tr2bl w:val="nil"/>
                  </w:tcBorders>
                  <w:noWrap w:val="0"/>
                  <w:vAlign w:val="center"/>
                </w:tcPr>
                <w:p w14:paraId="2B2D05A1">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0.04</w:t>
                  </w:r>
                </w:p>
              </w:tc>
            </w:tr>
            <w:tr w14:paraId="7223BD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6" w:type="dxa"/>
                  <w:tcBorders>
                    <w:tl2br w:val="nil"/>
                    <w:tr2bl w:val="nil"/>
                  </w:tcBorders>
                  <w:noWrap w:val="0"/>
                  <w:vAlign w:val="center"/>
                </w:tcPr>
                <w:p w14:paraId="63759483">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eastAsia="zh-CN"/>
                    </w:rPr>
                  </w:pPr>
                  <w:r>
                    <w:rPr>
                      <w:rFonts w:hint="eastAsia" w:cs="Times New Roman"/>
                      <w:kern w:val="0"/>
                      <w:sz w:val="21"/>
                      <w:szCs w:val="21"/>
                      <w:lang w:val="en-US" w:eastAsia="zh-CN"/>
                    </w:rPr>
                    <w:t>3</w:t>
                  </w:r>
                </w:p>
              </w:tc>
              <w:tc>
                <w:tcPr>
                  <w:tcW w:w="1519" w:type="dxa"/>
                  <w:tcBorders>
                    <w:tl2br w:val="nil"/>
                    <w:tr2bl w:val="nil"/>
                  </w:tcBorders>
                  <w:noWrap w:val="0"/>
                  <w:vAlign w:val="center"/>
                </w:tcPr>
                <w:p w14:paraId="3B1BE76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机油</w:t>
                  </w:r>
                </w:p>
              </w:tc>
              <w:tc>
                <w:tcPr>
                  <w:tcW w:w="921" w:type="dxa"/>
                  <w:tcBorders>
                    <w:tl2br w:val="nil"/>
                    <w:tr2bl w:val="nil"/>
                  </w:tcBorders>
                  <w:noWrap w:val="0"/>
                  <w:vAlign w:val="center"/>
                </w:tcPr>
                <w:p w14:paraId="27BF352C">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w:t>
                  </w:r>
                </w:p>
              </w:tc>
              <w:tc>
                <w:tcPr>
                  <w:tcW w:w="1905" w:type="dxa"/>
                  <w:tcBorders>
                    <w:tl2br w:val="nil"/>
                    <w:tr2bl w:val="nil"/>
                  </w:tcBorders>
                  <w:noWrap w:val="0"/>
                  <w:vAlign w:val="center"/>
                </w:tcPr>
                <w:p w14:paraId="3FD0807A">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highlight w:val="none"/>
                      <w:lang w:val="en-US" w:eastAsia="zh-CN"/>
                    </w:rPr>
                  </w:pPr>
                  <w:r>
                    <w:rPr>
                      <w:rFonts w:hint="eastAsia" w:cs="Times New Roman"/>
                      <w:kern w:val="0"/>
                      <w:sz w:val="21"/>
                      <w:szCs w:val="21"/>
                      <w:highlight w:val="none"/>
                      <w:lang w:val="en-US" w:eastAsia="zh-CN"/>
                    </w:rPr>
                    <w:t>0.2</w:t>
                  </w:r>
                </w:p>
              </w:tc>
              <w:tc>
                <w:tcPr>
                  <w:tcW w:w="1312" w:type="dxa"/>
                  <w:tcBorders>
                    <w:tl2br w:val="nil"/>
                    <w:tr2bl w:val="nil"/>
                  </w:tcBorders>
                  <w:noWrap w:val="0"/>
                  <w:vAlign w:val="center"/>
                </w:tcPr>
                <w:p w14:paraId="53FC071C">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2500</w:t>
                  </w:r>
                </w:p>
              </w:tc>
              <w:tc>
                <w:tcPr>
                  <w:tcW w:w="1994" w:type="dxa"/>
                  <w:tcBorders>
                    <w:tl2br w:val="nil"/>
                    <w:tr2bl w:val="nil"/>
                  </w:tcBorders>
                  <w:noWrap w:val="0"/>
                  <w:vAlign w:val="center"/>
                </w:tcPr>
                <w:p w14:paraId="3B2CEA96">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eastAsia="en-US"/>
                    </w:rPr>
                    <w:t>0.00</w:t>
                  </w:r>
                  <w:r>
                    <w:rPr>
                      <w:rFonts w:hint="eastAsia" w:ascii="Times New Roman" w:hAnsi="Times New Roman" w:cs="Times New Roman"/>
                      <w:kern w:val="0"/>
                      <w:sz w:val="21"/>
                      <w:szCs w:val="21"/>
                      <w:lang w:val="en-US" w:eastAsia="zh-CN"/>
                    </w:rPr>
                    <w:t>0</w:t>
                  </w:r>
                  <w:r>
                    <w:rPr>
                      <w:rFonts w:hint="default" w:ascii="Times New Roman" w:hAnsi="Times New Roman" w:eastAsia="宋体" w:cs="Times New Roman"/>
                      <w:kern w:val="0"/>
                      <w:sz w:val="21"/>
                      <w:szCs w:val="21"/>
                      <w:lang w:eastAsia="en-US"/>
                    </w:rPr>
                    <w:t>0</w:t>
                  </w:r>
                  <w:r>
                    <w:rPr>
                      <w:rFonts w:hint="eastAsia" w:cs="Times New Roman"/>
                      <w:kern w:val="0"/>
                      <w:sz w:val="21"/>
                      <w:szCs w:val="21"/>
                      <w:lang w:val="en-US" w:eastAsia="zh-CN"/>
                    </w:rPr>
                    <w:t>8</w:t>
                  </w:r>
                </w:p>
              </w:tc>
            </w:tr>
            <w:tr w14:paraId="676FC6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6" w:type="dxa"/>
                  <w:tcBorders>
                    <w:tl2br w:val="nil"/>
                    <w:tr2bl w:val="nil"/>
                  </w:tcBorders>
                  <w:noWrap w:val="0"/>
                  <w:vAlign w:val="center"/>
                </w:tcPr>
                <w:p w14:paraId="58D3B928">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4</w:t>
                  </w:r>
                </w:p>
              </w:tc>
              <w:tc>
                <w:tcPr>
                  <w:tcW w:w="1519" w:type="dxa"/>
                  <w:tcBorders>
                    <w:tl2br w:val="nil"/>
                    <w:tr2bl w:val="nil"/>
                  </w:tcBorders>
                  <w:noWrap w:val="0"/>
                  <w:vAlign w:val="center"/>
                </w:tcPr>
                <w:p w14:paraId="47893EE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废</w:t>
                  </w:r>
                  <w:r>
                    <w:rPr>
                      <w:rFonts w:hint="eastAsia" w:cs="Times New Roman"/>
                      <w:kern w:val="0"/>
                      <w:sz w:val="21"/>
                      <w:szCs w:val="21"/>
                      <w:lang w:eastAsia="zh-CN"/>
                    </w:rPr>
                    <w:t>机油</w:t>
                  </w:r>
                </w:p>
              </w:tc>
              <w:tc>
                <w:tcPr>
                  <w:tcW w:w="921" w:type="dxa"/>
                  <w:tcBorders>
                    <w:tl2br w:val="nil"/>
                    <w:tr2bl w:val="nil"/>
                  </w:tcBorders>
                  <w:noWrap w:val="0"/>
                  <w:vAlign w:val="center"/>
                </w:tcPr>
                <w:p w14:paraId="11935922">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w:t>
                  </w:r>
                </w:p>
              </w:tc>
              <w:tc>
                <w:tcPr>
                  <w:tcW w:w="1905" w:type="dxa"/>
                  <w:tcBorders>
                    <w:tl2br w:val="nil"/>
                    <w:tr2bl w:val="nil"/>
                  </w:tcBorders>
                  <w:noWrap w:val="0"/>
                  <w:vAlign w:val="center"/>
                </w:tcPr>
                <w:p w14:paraId="1EAE9CE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cs="Times New Roman"/>
                      <w:kern w:val="0"/>
                      <w:sz w:val="21"/>
                      <w:szCs w:val="21"/>
                      <w:highlight w:val="none"/>
                      <w:lang w:val="en-US" w:eastAsia="zh-CN"/>
                    </w:rPr>
                  </w:pPr>
                  <w:r>
                    <w:rPr>
                      <w:rFonts w:hint="eastAsia" w:cs="Times New Roman"/>
                      <w:kern w:val="0"/>
                      <w:sz w:val="21"/>
                      <w:szCs w:val="21"/>
                      <w:highlight w:val="none"/>
                      <w:lang w:val="en-US" w:eastAsia="zh-CN"/>
                    </w:rPr>
                    <w:t>0.1</w:t>
                  </w:r>
                </w:p>
              </w:tc>
              <w:tc>
                <w:tcPr>
                  <w:tcW w:w="1312" w:type="dxa"/>
                  <w:tcBorders>
                    <w:tl2br w:val="nil"/>
                    <w:tr2bl w:val="nil"/>
                  </w:tcBorders>
                  <w:noWrap w:val="0"/>
                  <w:vAlign w:val="center"/>
                </w:tcPr>
                <w:p w14:paraId="159E3FF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2500</w:t>
                  </w:r>
                </w:p>
              </w:tc>
              <w:tc>
                <w:tcPr>
                  <w:tcW w:w="1994" w:type="dxa"/>
                  <w:tcBorders>
                    <w:tl2br w:val="nil"/>
                    <w:tr2bl w:val="nil"/>
                  </w:tcBorders>
                  <w:noWrap w:val="0"/>
                  <w:vAlign w:val="center"/>
                </w:tcPr>
                <w:p w14:paraId="083DF30F">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0.00004</w:t>
                  </w:r>
                </w:p>
              </w:tc>
            </w:tr>
            <w:tr w14:paraId="274C20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6323" w:type="dxa"/>
                  <w:gridSpan w:val="5"/>
                  <w:tcBorders>
                    <w:tl2br w:val="nil"/>
                    <w:tr2bl w:val="nil"/>
                  </w:tcBorders>
                  <w:noWrap w:val="0"/>
                  <w:vAlign w:val="center"/>
                </w:tcPr>
                <w:p w14:paraId="0F8F54AD">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eastAsia="en-US"/>
                    </w:rPr>
                  </w:pPr>
                  <w:r>
                    <w:rPr>
                      <w:rFonts w:hint="default" w:ascii="Times New Roman" w:hAnsi="Times New Roman" w:eastAsia="宋体" w:cs="Times New Roman"/>
                      <w:kern w:val="0"/>
                      <w:sz w:val="21"/>
                      <w:szCs w:val="21"/>
                      <w:lang w:eastAsia="en-US"/>
                    </w:rPr>
                    <w:t>ΣQ</w:t>
                  </w:r>
                </w:p>
              </w:tc>
              <w:tc>
                <w:tcPr>
                  <w:tcW w:w="1994" w:type="dxa"/>
                  <w:tcBorders>
                    <w:tl2br w:val="nil"/>
                    <w:tr2bl w:val="nil"/>
                  </w:tcBorders>
                  <w:noWrap w:val="0"/>
                  <w:vAlign w:val="center"/>
                </w:tcPr>
                <w:p w14:paraId="739F5B23">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tLeast"/>
                    <w:ind w:left="0" w:right="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0</w:t>
                  </w:r>
                  <w:r>
                    <w:rPr>
                      <w:rFonts w:hint="eastAsia" w:cs="Times New Roman"/>
                      <w:kern w:val="0"/>
                      <w:sz w:val="21"/>
                      <w:szCs w:val="21"/>
                      <w:lang w:val="en-US" w:eastAsia="zh-CN"/>
                    </w:rPr>
                    <w:t>.16012</w:t>
                  </w:r>
                </w:p>
              </w:tc>
            </w:tr>
          </w:tbl>
          <w:p w14:paraId="09C5A0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357"/>
              <w:textAlignment w:val="auto"/>
              <w:rPr>
                <w:rFonts w:hint="default" w:eastAsia="宋体"/>
                <w:kern w:val="0"/>
                <w:sz w:val="24"/>
                <w:szCs w:val="24"/>
                <w:lang w:val="en-US" w:eastAsia="zh-CN"/>
              </w:rPr>
            </w:pPr>
            <w:r>
              <w:rPr>
                <w:rFonts w:hint="eastAsia" w:eastAsia="宋体"/>
                <w:kern w:val="0"/>
                <w:sz w:val="24"/>
                <w:szCs w:val="24"/>
              </w:rPr>
              <w:t>临界量</w:t>
            </w:r>
            <w:r>
              <w:rPr>
                <w:rFonts w:hint="default"/>
                <w:i/>
                <w:kern w:val="0"/>
                <w:sz w:val="24"/>
                <w:szCs w:val="24"/>
              </w:rPr>
              <w:t>Q</w:t>
            </w:r>
            <w:r>
              <w:rPr>
                <w:rFonts w:hint="default"/>
                <w:i/>
                <w:kern w:val="0"/>
                <w:position w:val="-2"/>
                <w:sz w:val="24"/>
                <w:szCs w:val="24"/>
              </w:rPr>
              <w:t>n</w:t>
            </w:r>
            <w:r>
              <w:rPr>
                <w:rFonts w:hint="default"/>
                <w:i/>
                <w:kern w:val="0"/>
                <w:sz w:val="24"/>
                <w:szCs w:val="24"/>
              </w:rPr>
              <w:t>/</w:t>
            </w:r>
            <w:r>
              <w:rPr>
                <w:rFonts w:hint="default"/>
                <w:kern w:val="0"/>
                <w:sz w:val="24"/>
                <w:szCs w:val="24"/>
              </w:rPr>
              <w:t>t</w:t>
            </w:r>
            <w:r>
              <w:rPr>
                <w:rFonts w:hint="eastAsia" w:eastAsia="宋体"/>
                <w:kern w:val="0"/>
                <w:sz w:val="24"/>
                <w:szCs w:val="24"/>
              </w:rPr>
              <w:t>取值：</w:t>
            </w:r>
            <w:r>
              <w:rPr>
                <w:rFonts w:hint="eastAsia" w:eastAsia="宋体"/>
                <w:sz w:val="24"/>
                <w:szCs w:val="24"/>
                <w:lang w:val="de-DE"/>
              </w:rPr>
              <w:t>《建设项目环境风险评价技术导则》（HJ169-2018）附录</w:t>
            </w:r>
            <w:r>
              <w:rPr>
                <w:rFonts w:hint="default"/>
                <w:sz w:val="24"/>
                <w:szCs w:val="24"/>
              </w:rPr>
              <w:t>B</w:t>
            </w:r>
            <w:r>
              <w:rPr>
                <w:rFonts w:hint="default"/>
                <w:sz w:val="24"/>
                <w:szCs w:val="24"/>
                <w:lang w:val="de-DE"/>
              </w:rPr>
              <w:t>.1</w:t>
            </w:r>
            <w:r>
              <w:rPr>
                <w:rFonts w:hint="eastAsia" w:eastAsia="宋体"/>
                <w:sz w:val="24"/>
                <w:szCs w:val="24"/>
                <w:lang w:val="de-DE"/>
              </w:rPr>
              <w:t>，第</w:t>
            </w:r>
            <w:r>
              <w:rPr>
                <w:rFonts w:hint="default"/>
                <w:sz w:val="24"/>
                <w:szCs w:val="24"/>
              </w:rPr>
              <w:t>381</w:t>
            </w:r>
            <w:r>
              <w:rPr>
                <w:rFonts w:hint="eastAsia" w:eastAsia="宋体"/>
                <w:sz w:val="24"/>
                <w:szCs w:val="24"/>
              </w:rPr>
              <w:t>项，油类物质临界量2500t</w:t>
            </w:r>
            <w:r>
              <w:rPr>
                <w:rFonts w:hint="eastAsia"/>
                <w:sz w:val="24"/>
                <w:szCs w:val="24"/>
                <w:lang w:val="en-US" w:eastAsia="zh-CN"/>
              </w:rPr>
              <w:t>。</w:t>
            </w:r>
            <w:r>
              <w:rPr>
                <w:rFonts w:hint="eastAsia" w:cs="Times New Roman"/>
                <w:bCs/>
                <w:color w:val="auto"/>
                <w:sz w:val="24"/>
                <w:szCs w:val="24"/>
                <w:lang w:val="en-US" w:eastAsia="zh-CN"/>
              </w:rPr>
              <w:t>丁基胶及硅酮胶临界量参考</w:t>
            </w:r>
            <w:r>
              <w:rPr>
                <w:rFonts w:hint="eastAsia" w:eastAsia="宋体"/>
                <w:sz w:val="24"/>
                <w:szCs w:val="24"/>
                <w:lang w:val="de-DE"/>
              </w:rPr>
              <w:t>《建设项目环境风险评价技术导则》（HJ169-2018）附录</w:t>
            </w:r>
            <w:r>
              <w:rPr>
                <w:rFonts w:hint="default"/>
                <w:sz w:val="24"/>
                <w:szCs w:val="24"/>
              </w:rPr>
              <w:t>B</w:t>
            </w:r>
            <w:r>
              <w:rPr>
                <w:rFonts w:hint="default"/>
                <w:sz w:val="24"/>
                <w:szCs w:val="24"/>
                <w:lang w:val="de-DE"/>
              </w:rPr>
              <w:t>.</w:t>
            </w:r>
            <w:r>
              <w:rPr>
                <w:rFonts w:hint="eastAsia"/>
                <w:sz w:val="24"/>
                <w:szCs w:val="24"/>
                <w:lang w:val="en-US" w:eastAsia="zh-CN"/>
              </w:rPr>
              <w:t>2</w:t>
            </w:r>
            <w:r>
              <w:rPr>
                <w:rFonts w:hint="eastAsia" w:cs="Times New Roman"/>
                <w:bCs/>
                <w:color w:val="auto"/>
                <w:sz w:val="24"/>
                <w:szCs w:val="24"/>
                <w:lang w:val="en-US" w:eastAsia="zh-CN"/>
              </w:rPr>
              <w:t>中健康危险急性毒性物质（类别2，类别3）推荐值。</w:t>
            </w:r>
          </w:p>
          <w:p w14:paraId="493006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eastAsia="宋体"/>
                <w:kern w:val="0"/>
                <w:sz w:val="24"/>
                <w:szCs w:val="24"/>
                <w:lang w:val="de-DE"/>
              </w:rPr>
              <w:t>根据上表结果，项目</w:t>
            </w:r>
            <w:r>
              <w:rPr>
                <w:rFonts w:hint="eastAsia" w:eastAsia="宋体"/>
                <w:sz w:val="24"/>
                <w:szCs w:val="24"/>
                <w:lang w:val="de-DE"/>
              </w:rPr>
              <w:t>危险物</w:t>
            </w:r>
            <w:r>
              <w:rPr>
                <w:rFonts w:hint="eastAsia" w:eastAsia="宋体"/>
                <w:kern w:val="0"/>
                <w:sz w:val="24"/>
                <w:szCs w:val="24"/>
                <w:lang w:val="de-DE"/>
              </w:rPr>
              <w:t>质数量与临界量的比值</w:t>
            </w:r>
            <w:r>
              <w:rPr>
                <w:rFonts w:hint="default"/>
                <w:kern w:val="0"/>
                <w:sz w:val="24"/>
                <w:szCs w:val="24"/>
              </w:rPr>
              <w:t>Σ</w:t>
            </w:r>
            <w:r>
              <w:rPr>
                <w:rFonts w:hint="default"/>
                <w:kern w:val="0"/>
                <w:sz w:val="24"/>
                <w:szCs w:val="24"/>
                <w:lang w:val="de-DE"/>
              </w:rPr>
              <w:t>Q=</w:t>
            </w:r>
            <w:r>
              <w:rPr>
                <w:rFonts w:hint="eastAsia"/>
                <w:kern w:val="0"/>
                <w:sz w:val="24"/>
                <w:szCs w:val="24"/>
                <w:lang w:val="en-US" w:eastAsia="zh-CN"/>
              </w:rPr>
              <w:t>0.16012</w:t>
            </w:r>
            <w:r>
              <w:rPr>
                <w:rFonts w:hint="eastAsia" w:eastAsia="宋体"/>
                <w:kern w:val="0"/>
                <w:sz w:val="24"/>
                <w:szCs w:val="24"/>
              </w:rPr>
              <w:t>＜1，根据</w:t>
            </w:r>
            <w:r>
              <w:rPr>
                <w:rFonts w:hint="eastAsia" w:eastAsia="宋体"/>
                <w:sz w:val="24"/>
                <w:szCs w:val="24"/>
                <w:lang w:val="de-DE"/>
              </w:rPr>
              <w:t>《建设项目环境风险评价技术导则》</w:t>
            </w:r>
            <w:r>
              <w:rPr>
                <w:rFonts w:hint="default"/>
                <w:kern w:val="0"/>
                <w:sz w:val="24"/>
                <w:szCs w:val="24"/>
              </w:rPr>
              <w:t>(HJ169-2018)C1.1</w:t>
            </w:r>
            <w:r>
              <w:rPr>
                <w:rFonts w:hint="eastAsia" w:eastAsia="宋体"/>
                <w:kern w:val="0"/>
                <w:sz w:val="24"/>
                <w:szCs w:val="24"/>
              </w:rPr>
              <w:t>，“当Q＜1，该项目环境风险潜势为</w:t>
            </w:r>
            <w:r>
              <w:rPr>
                <w:rFonts w:hint="eastAsia" w:ascii="宋体" w:hAnsi="宋体" w:eastAsia="宋体" w:cs="宋体"/>
                <w:kern w:val="0"/>
                <w:sz w:val="24"/>
                <w:szCs w:val="24"/>
              </w:rPr>
              <w:t>Ⅰ</w:t>
            </w:r>
            <w:r>
              <w:rPr>
                <w:rFonts w:hint="default"/>
                <w:kern w:val="0"/>
                <w:sz w:val="24"/>
                <w:szCs w:val="24"/>
              </w:rPr>
              <w:t>”</w:t>
            </w:r>
            <w:r>
              <w:rPr>
                <w:rFonts w:hint="eastAsia"/>
                <w:kern w:val="0"/>
                <w:sz w:val="24"/>
                <w:szCs w:val="24"/>
                <w:lang w:eastAsia="zh-CN"/>
              </w:rPr>
              <w:t>，</w:t>
            </w:r>
            <w:r>
              <w:rPr>
                <w:rFonts w:hint="default" w:ascii="Times New Roman" w:hAnsi="Times New Roman" w:eastAsia="宋体" w:cs="Times New Roman"/>
                <w:bCs/>
                <w:color w:val="auto"/>
                <w:sz w:val="24"/>
                <w:szCs w:val="24"/>
                <w:lang w:val="en-US" w:eastAsia="zh-CN"/>
              </w:rPr>
              <w:t>故</w:t>
            </w:r>
            <w:r>
              <w:rPr>
                <w:rFonts w:hint="eastAsia" w:cs="Times New Roman"/>
                <w:bCs/>
                <w:color w:val="auto"/>
                <w:sz w:val="24"/>
                <w:szCs w:val="24"/>
                <w:lang w:val="en-US" w:eastAsia="zh-CN"/>
              </w:rPr>
              <w:t>本</w:t>
            </w:r>
            <w:r>
              <w:rPr>
                <w:rFonts w:hint="default" w:ascii="Times New Roman" w:hAnsi="Times New Roman" w:eastAsia="宋体" w:cs="Times New Roman"/>
                <w:bCs/>
                <w:color w:val="auto"/>
                <w:sz w:val="24"/>
                <w:szCs w:val="24"/>
                <w:lang w:val="en-US" w:eastAsia="zh-CN"/>
              </w:rPr>
              <w:t>项目风险潜势为I，为最低环境风险，存在风险事故隐患为火灾，仅需进行简单分析，在描述危险物质、环境影响途径、环境危害后果、风险防范措施等方面给出定性的说明。</w:t>
            </w:r>
          </w:p>
          <w:p w14:paraId="71772232">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（1）主要危险物质及分布</w:t>
            </w:r>
          </w:p>
          <w:p w14:paraId="40CCA0AA">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本项目引发火灾的主要危险物质为</w:t>
            </w:r>
            <w:r>
              <w:rPr>
                <w:rFonts w:hint="eastAsia" w:cs="Times New Roman"/>
                <w:bCs/>
                <w:color w:val="auto"/>
                <w:sz w:val="24"/>
                <w:szCs w:val="24"/>
                <w:lang w:val="en-US" w:eastAsia="zh-CN"/>
              </w:rPr>
              <w:t>原料</w:t>
            </w:r>
            <w:r>
              <w:rPr>
                <w:rFonts w:hint="default" w:ascii="Times New Roman" w:hAnsi="Times New Roman" w:eastAsia="宋体" w:cs="Times New Roman"/>
                <w:bCs/>
                <w:color w:val="auto"/>
                <w:sz w:val="24"/>
                <w:szCs w:val="24"/>
                <w:lang w:val="en-US" w:eastAsia="zh-CN"/>
              </w:rPr>
              <w:t>等可燃物质的堆放区</w:t>
            </w:r>
            <w:r>
              <w:rPr>
                <w:rFonts w:hint="eastAsia" w:cs="Times New Roman"/>
                <w:bCs/>
                <w:color w:val="auto"/>
                <w:sz w:val="24"/>
                <w:szCs w:val="24"/>
                <w:lang w:val="en-US" w:eastAsia="zh-CN"/>
              </w:rPr>
              <w:t>、机油和废机油的泄漏</w:t>
            </w:r>
            <w:r>
              <w:rPr>
                <w:rFonts w:hint="default" w:ascii="Times New Roman" w:hAnsi="Times New Roman" w:eastAsia="宋体" w:cs="Times New Roman"/>
                <w:bCs/>
                <w:color w:val="auto"/>
                <w:sz w:val="24"/>
                <w:szCs w:val="24"/>
                <w:lang w:val="en-US" w:eastAsia="zh-CN"/>
              </w:rPr>
              <w:t>以及废活性炭的暂存堆放区。</w:t>
            </w:r>
          </w:p>
          <w:p w14:paraId="444354FB">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（2）环境影响途径及危害后果</w:t>
            </w:r>
          </w:p>
          <w:p w14:paraId="7B2E1E2D">
            <w:pPr>
              <w:snapToGrid w:val="0"/>
              <w:spacing w:line="360" w:lineRule="auto"/>
              <w:ind w:firstLine="480" w:firstLineChars="200"/>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火灾会造成惨重的直接财产损失，火灾会危及人员的健康生命，火灾会造成生态平衡的破坏。火灾事故燃烧产生的烟气有可能对周围大气环境造成一定的污染。在灭火的同时，随着消防用水可能通过厂区雨水管道排入附近河流，对纳污河流水质造成一定的污染影响。</w:t>
            </w:r>
          </w:p>
          <w:p w14:paraId="6B8FEA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eastAsia="宋体" w:cs="Times New Roman"/>
                <w:bCs/>
                <w:color w:val="auto"/>
                <w:sz w:val="24"/>
                <w:szCs w:val="24"/>
                <w:lang w:val="en-US" w:eastAsia="zh-CN"/>
              </w:rPr>
              <w:t>（3）风险防范措施要求</w:t>
            </w:r>
          </w:p>
          <w:p w14:paraId="736FFF4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3"/>
              <w:rPr>
                <w:rFonts w:hint="eastAsia"/>
                <w:sz w:val="24"/>
                <w:szCs w:val="22"/>
              </w:rPr>
            </w:pPr>
            <w:r>
              <w:rPr>
                <w:rFonts w:hint="eastAsia" w:ascii="宋体" w:hAnsi="宋体" w:eastAsia="宋体" w:cs="宋体"/>
                <w:sz w:val="24"/>
                <w:szCs w:val="22"/>
              </w:rPr>
              <w:t>①</w:t>
            </w:r>
            <w:r>
              <w:rPr>
                <w:rFonts w:hint="eastAsia" w:ascii="宋体" w:hAnsi="宋体"/>
                <w:sz w:val="24"/>
                <w:szCs w:val="22"/>
              </w:rPr>
              <w:t>机油（废机油）</w:t>
            </w:r>
            <w:r>
              <w:rPr>
                <w:rFonts w:hint="eastAsia"/>
                <w:sz w:val="24"/>
                <w:szCs w:val="22"/>
              </w:rPr>
              <w:t>泄漏防范措施</w:t>
            </w:r>
          </w:p>
          <w:p w14:paraId="0CBC77C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2"/>
                <w:lang w:eastAsia="zh-CN"/>
              </w:rPr>
            </w:pPr>
            <w:r>
              <w:rPr>
                <w:rFonts w:hint="eastAsia" w:ascii="宋体" w:hAnsi="宋体"/>
                <w:sz w:val="24"/>
                <w:szCs w:val="22"/>
              </w:rPr>
              <w:t>机油储存</w:t>
            </w:r>
            <w:r>
              <w:rPr>
                <w:rFonts w:hint="eastAsia"/>
                <w:sz w:val="24"/>
                <w:szCs w:val="22"/>
              </w:rPr>
              <w:t>区域及危废暂存间应进行防风、防雨、防晒、防渗处理，防止油类物质在贮存时可能产生渗漏对地下水和土壤造成污染</w:t>
            </w:r>
            <w:r>
              <w:rPr>
                <w:rFonts w:hint="eastAsia"/>
                <w:sz w:val="24"/>
                <w:szCs w:val="22"/>
                <w:lang w:eastAsia="zh-CN"/>
              </w:rPr>
              <w:t>；</w:t>
            </w:r>
          </w:p>
          <w:p w14:paraId="3EFC4EF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2"/>
                <w:lang w:eastAsia="zh-CN"/>
              </w:rPr>
            </w:pPr>
            <w:r>
              <w:rPr>
                <w:rFonts w:hint="eastAsia"/>
                <w:sz w:val="24"/>
                <w:szCs w:val="22"/>
              </w:rPr>
              <w:t>危废暂存间应严格按照《危险废物贮存污染控制标准》（GB18596-2001）要求建设，临时存放产生的危险废物，达到一定量后交由有资质单位转移和处置</w:t>
            </w:r>
            <w:r>
              <w:rPr>
                <w:rFonts w:hint="eastAsia"/>
                <w:sz w:val="24"/>
                <w:szCs w:val="22"/>
                <w:lang w:eastAsia="zh-CN"/>
              </w:rPr>
              <w:t>；</w:t>
            </w:r>
          </w:p>
          <w:p w14:paraId="36DD89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2"/>
                <w:lang w:eastAsia="zh-CN"/>
              </w:rPr>
            </w:pPr>
            <w:r>
              <w:rPr>
                <w:rFonts w:hint="eastAsia" w:ascii="宋体" w:hAnsi="宋体"/>
                <w:sz w:val="24"/>
                <w:szCs w:val="22"/>
              </w:rPr>
              <w:t>机油储存区及</w:t>
            </w:r>
            <w:r>
              <w:rPr>
                <w:rFonts w:hint="eastAsia"/>
                <w:sz w:val="24"/>
                <w:szCs w:val="22"/>
              </w:rPr>
              <w:t>危废暂存间设立标识，防止油品泄漏流出</w:t>
            </w:r>
            <w:r>
              <w:rPr>
                <w:rFonts w:hint="eastAsia"/>
                <w:sz w:val="24"/>
                <w:szCs w:val="22"/>
                <w:lang w:eastAsia="zh-CN"/>
              </w:rPr>
              <w:t>；</w:t>
            </w:r>
          </w:p>
          <w:p w14:paraId="1412363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2"/>
              </w:rPr>
            </w:pPr>
            <w:r>
              <w:rPr>
                <w:rFonts w:hint="eastAsia"/>
                <w:sz w:val="24"/>
                <w:szCs w:val="22"/>
              </w:rPr>
              <w:t>设专人负责危险品的管理，定期巡检，防止人为破坏，保证</w:t>
            </w:r>
            <w:r>
              <w:rPr>
                <w:rFonts w:hint="eastAsia"/>
                <w:sz w:val="24"/>
                <w:szCs w:val="22"/>
                <w:lang w:val="en-US" w:eastAsia="zh-CN"/>
              </w:rPr>
              <w:t>厂</w:t>
            </w:r>
            <w:r>
              <w:rPr>
                <w:rFonts w:hint="eastAsia"/>
                <w:sz w:val="24"/>
                <w:szCs w:val="22"/>
              </w:rPr>
              <w:t>区安全生产。</w:t>
            </w:r>
          </w:p>
          <w:p w14:paraId="19B2FDB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3"/>
              <w:rPr>
                <w:sz w:val="24"/>
                <w:szCs w:val="22"/>
              </w:rPr>
            </w:pPr>
            <w:r>
              <w:rPr>
                <w:rFonts w:hint="eastAsia" w:ascii="宋体" w:hAnsi="宋体" w:eastAsia="宋体" w:cs="宋体"/>
                <w:sz w:val="24"/>
                <w:szCs w:val="22"/>
              </w:rPr>
              <w:t>②</w:t>
            </w:r>
            <w:r>
              <w:rPr>
                <w:rFonts w:hint="eastAsia"/>
                <w:sz w:val="24"/>
                <w:szCs w:val="22"/>
              </w:rPr>
              <w:t>火灾防范措施</w:t>
            </w:r>
          </w:p>
          <w:p w14:paraId="55F7545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2"/>
                <w:lang w:eastAsia="zh-CN"/>
              </w:rPr>
            </w:pPr>
            <w:r>
              <w:rPr>
                <w:rFonts w:hint="eastAsia"/>
                <w:sz w:val="24"/>
                <w:szCs w:val="22"/>
              </w:rPr>
              <w:t>车间应符合《建筑设计防火规范》（GB 50016-2014）的有关规定</w:t>
            </w:r>
            <w:r>
              <w:rPr>
                <w:rFonts w:hint="eastAsia"/>
                <w:sz w:val="24"/>
                <w:szCs w:val="22"/>
                <w:lang w:eastAsia="zh-CN"/>
              </w:rPr>
              <w:t>；</w:t>
            </w:r>
          </w:p>
          <w:p w14:paraId="624980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2"/>
                <w:lang w:eastAsia="zh-CN"/>
              </w:rPr>
            </w:pPr>
            <w:r>
              <w:rPr>
                <w:rFonts w:hint="eastAsia" w:ascii="宋体" w:hAnsi="宋体"/>
                <w:sz w:val="24"/>
                <w:szCs w:val="22"/>
              </w:rPr>
              <w:t>机油（废机油）</w:t>
            </w:r>
            <w:r>
              <w:rPr>
                <w:rFonts w:hint="eastAsia" w:ascii="宋体" w:hAnsi="宋体"/>
                <w:sz w:val="24"/>
                <w:szCs w:val="22"/>
                <w:lang w:val="en-US" w:eastAsia="zh-CN"/>
              </w:rPr>
              <w:t>储存区</w:t>
            </w:r>
            <w:r>
              <w:rPr>
                <w:rFonts w:hint="eastAsia"/>
                <w:sz w:val="24"/>
                <w:szCs w:val="22"/>
              </w:rPr>
              <w:t>严禁烟火，并配备消防器材，周围设置警示牌</w:t>
            </w:r>
            <w:r>
              <w:rPr>
                <w:rFonts w:hint="eastAsia"/>
                <w:sz w:val="24"/>
                <w:szCs w:val="22"/>
                <w:lang w:eastAsia="zh-CN"/>
              </w:rPr>
              <w:t>；</w:t>
            </w:r>
          </w:p>
          <w:p w14:paraId="5401A4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2"/>
              </w:rPr>
            </w:pPr>
            <w:r>
              <w:rPr>
                <w:rFonts w:hint="eastAsia" w:ascii="宋体" w:hAnsi="宋体"/>
                <w:sz w:val="24"/>
                <w:szCs w:val="22"/>
              </w:rPr>
              <w:t>易燃原料由专人负责统一管理，定期巡检，防止人为破坏。</w:t>
            </w:r>
          </w:p>
          <w:p w14:paraId="20ADC45C">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sz w:val="24"/>
                <w:szCs w:val="22"/>
                <w:lang w:eastAsia="zh-CN"/>
              </w:rPr>
            </w:pPr>
            <w:r>
              <w:rPr>
                <w:rFonts w:hint="eastAsia"/>
                <w:sz w:val="24"/>
                <w:szCs w:val="22"/>
                <w:lang w:eastAsia="zh-CN"/>
              </w:rPr>
              <w:t>（</w:t>
            </w:r>
            <w:r>
              <w:rPr>
                <w:rFonts w:hint="eastAsia"/>
                <w:sz w:val="24"/>
                <w:szCs w:val="22"/>
                <w:lang w:val="en-US" w:eastAsia="zh-CN"/>
              </w:rPr>
              <w:t>4</w:t>
            </w:r>
            <w:r>
              <w:rPr>
                <w:rFonts w:hint="eastAsia"/>
                <w:sz w:val="24"/>
                <w:szCs w:val="22"/>
                <w:lang w:eastAsia="zh-CN"/>
              </w:rPr>
              <w:t>）环境风险分析小结</w:t>
            </w:r>
          </w:p>
          <w:p w14:paraId="3A741C77">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宋体"/>
                <w:lang w:val="en-US" w:eastAsia="zh-CN"/>
              </w:rPr>
            </w:pPr>
            <w:r>
              <w:rPr>
                <w:rFonts w:hint="eastAsia"/>
                <w:sz w:val="24"/>
                <w:szCs w:val="22"/>
                <w:lang w:eastAsia="zh-CN"/>
              </w:rPr>
              <w:t>由于本项目发生风险事故的概率较小，故只要加强管理，建立健全相应的防范应急措施，在管理及运行中认真落实拟采取的安全措施及评价所提出的安全设施和安全对策后，上述风险事故隐患可降至最低。</w:t>
            </w:r>
          </w:p>
          <w:p w14:paraId="749A22F6">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8、</w:t>
            </w:r>
            <w:r>
              <w:rPr>
                <w:rFonts w:hint="default" w:ascii="Times New Roman" w:hAnsi="Times New Roman" w:eastAsia="宋体" w:cs="Times New Roman"/>
                <w:color w:val="auto"/>
                <w:sz w:val="24"/>
                <w:szCs w:val="24"/>
                <w:lang w:val="en-US" w:eastAsia="zh-CN"/>
              </w:rPr>
              <w:t>环保投资</w:t>
            </w:r>
          </w:p>
          <w:p w14:paraId="195ADFEB">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4"/>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4-14   项目</w:t>
            </w:r>
            <w:r>
              <w:rPr>
                <w:rFonts w:hint="default" w:ascii="Times New Roman" w:hAnsi="Times New Roman" w:cs="Times New Roman"/>
                <w:b/>
                <w:color w:val="auto"/>
                <w:sz w:val="21"/>
                <w:szCs w:val="21"/>
              </w:rPr>
              <w:t>环保投资估算</w:t>
            </w:r>
            <w:r>
              <w:rPr>
                <w:rFonts w:hint="default" w:ascii="Times New Roman" w:hAnsi="Times New Roman" w:cs="Times New Roman"/>
                <w:b/>
                <w:color w:val="auto"/>
                <w:sz w:val="21"/>
                <w:szCs w:val="21"/>
                <w:lang w:val="en-US" w:eastAsia="zh-CN"/>
              </w:rPr>
              <w:t>一览</w:t>
            </w:r>
            <w:r>
              <w:rPr>
                <w:rFonts w:hint="default" w:ascii="Times New Roman" w:hAnsi="Times New Roman" w:cs="Times New Roman"/>
                <w:b/>
                <w:color w:val="auto"/>
                <w:sz w:val="21"/>
                <w:szCs w:val="21"/>
              </w:rPr>
              <w:t>表</w:t>
            </w:r>
          </w:p>
          <w:tbl>
            <w:tblPr>
              <w:tblStyle w:val="19"/>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95"/>
              <w:gridCol w:w="1632"/>
              <w:gridCol w:w="1408"/>
              <w:gridCol w:w="3392"/>
              <w:gridCol w:w="1170"/>
            </w:tblGrid>
            <w:tr w14:paraId="4877E1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895" w:type="dxa"/>
                  <w:tcBorders>
                    <w:tl2br w:val="nil"/>
                    <w:tr2bl w:val="nil"/>
                  </w:tcBorders>
                  <w:noWrap w:val="0"/>
                  <w:vAlign w:val="center"/>
                </w:tcPr>
                <w:p w14:paraId="213908C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类别</w:t>
                  </w:r>
                </w:p>
              </w:tc>
              <w:tc>
                <w:tcPr>
                  <w:tcW w:w="1632" w:type="dxa"/>
                  <w:tcBorders>
                    <w:tl2br w:val="nil"/>
                    <w:tr2bl w:val="nil"/>
                  </w:tcBorders>
                  <w:noWrap w:val="0"/>
                  <w:vAlign w:val="center"/>
                </w:tcPr>
                <w:p w14:paraId="1E5D8A6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污染源</w:t>
                  </w:r>
                </w:p>
              </w:tc>
              <w:tc>
                <w:tcPr>
                  <w:tcW w:w="1408" w:type="dxa"/>
                  <w:tcBorders>
                    <w:tl2br w:val="nil"/>
                    <w:tr2bl w:val="nil"/>
                  </w:tcBorders>
                  <w:noWrap w:val="0"/>
                  <w:vAlign w:val="center"/>
                </w:tcPr>
                <w:p w14:paraId="040E5A0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治理对象</w:t>
                  </w:r>
                </w:p>
              </w:tc>
              <w:tc>
                <w:tcPr>
                  <w:tcW w:w="3392" w:type="dxa"/>
                  <w:tcBorders>
                    <w:tl2br w:val="nil"/>
                    <w:tr2bl w:val="nil"/>
                  </w:tcBorders>
                  <w:noWrap w:val="0"/>
                  <w:vAlign w:val="center"/>
                </w:tcPr>
                <w:p w14:paraId="166DF34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环保治理措施</w:t>
                  </w:r>
                </w:p>
              </w:tc>
              <w:tc>
                <w:tcPr>
                  <w:tcW w:w="1170" w:type="dxa"/>
                  <w:tcBorders>
                    <w:tl2br w:val="nil"/>
                    <w:tr2bl w:val="nil"/>
                  </w:tcBorders>
                  <w:noWrap w:val="0"/>
                  <w:vAlign w:val="center"/>
                </w:tcPr>
                <w:p w14:paraId="66D9CDD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投资估算</w:t>
                  </w:r>
                </w:p>
                <w:p w14:paraId="5CE08DF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（万元）</w:t>
                  </w:r>
                </w:p>
              </w:tc>
            </w:tr>
            <w:tr w14:paraId="3FA379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95" w:type="dxa"/>
                  <w:tcBorders>
                    <w:tl2br w:val="nil"/>
                    <w:tr2bl w:val="nil"/>
                  </w:tcBorders>
                  <w:noWrap w:val="0"/>
                  <w:vAlign w:val="center"/>
                </w:tcPr>
                <w:p w14:paraId="10359F7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废气</w:t>
                  </w:r>
                </w:p>
              </w:tc>
              <w:tc>
                <w:tcPr>
                  <w:tcW w:w="1632" w:type="dxa"/>
                  <w:tcBorders>
                    <w:tl2br w:val="nil"/>
                    <w:tr2bl w:val="nil"/>
                  </w:tcBorders>
                  <w:noWrap w:val="0"/>
                  <w:vAlign w:val="center"/>
                </w:tcPr>
                <w:p w14:paraId="5B502F3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调胶、涂胶、封胶有机废气</w:t>
                  </w:r>
                </w:p>
              </w:tc>
              <w:tc>
                <w:tcPr>
                  <w:tcW w:w="1408" w:type="dxa"/>
                  <w:tcBorders>
                    <w:tl2br w:val="nil"/>
                    <w:tr2bl w:val="nil"/>
                  </w:tcBorders>
                  <w:noWrap w:val="0"/>
                  <w:vAlign w:val="center"/>
                </w:tcPr>
                <w:p w14:paraId="27C6963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非甲烷总烃</w:t>
                  </w:r>
                </w:p>
              </w:tc>
              <w:tc>
                <w:tcPr>
                  <w:tcW w:w="3392" w:type="dxa"/>
                  <w:tcBorders>
                    <w:tl2br w:val="nil"/>
                    <w:tr2bl w:val="nil"/>
                  </w:tcBorders>
                  <w:noWrap w:val="0"/>
                  <w:vAlign w:val="center"/>
                </w:tcPr>
                <w:p w14:paraId="71105D5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分区集气罩+</w:t>
                  </w:r>
                  <w:r>
                    <w:rPr>
                      <w:rFonts w:hint="default" w:ascii="Times New Roman" w:hAnsi="Times New Roman" w:cs="Times New Roman"/>
                      <w:color w:val="auto"/>
                      <w:sz w:val="21"/>
                      <w:szCs w:val="21"/>
                      <w:lang w:val="en-GB" w:eastAsia="zh-CN"/>
                    </w:rPr>
                    <w:t>二级</w:t>
                  </w:r>
                  <w:r>
                    <w:rPr>
                      <w:rFonts w:hint="default" w:ascii="Times New Roman" w:hAnsi="Times New Roman" w:cs="Times New Roman"/>
                      <w:color w:val="auto"/>
                      <w:sz w:val="21"/>
                      <w:szCs w:val="21"/>
                      <w:lang w:val="en-GB"/>
                    </w:rPr>
                    <w:t>活性炭吸附+</w:t>
                  </w:r>
                  <w:r>
                    <w:rPr>
                      <w:rFonts w:hint="default" w:ascii="Times New Roman" w:hAnsi="Times New Roman" w:cs="Times New Roman"/>
                      <w:color w:val="auto"/>
                      <w:sz w:val="21"/>
                      <w:szCs w:val="21"/>
                      <w:lang w:val="en-GB" w:eastAsia="zh-CN"/>
                    </w:rPr>
                    <w:t>15</w:t>
                  </w:r>
                  <w:r>
                    <w:rPr>
                      <w:rFonts w:hint="default" w:ascii="Times New Roman" w:hAnsi="Times New Roman" w:cs="Times New Roman"/>
                      <w:color w:val="auto"/>
                      <w:sz w:val="21"/>
                      <w:szCs w:val="21"/>
                      <w:lang w:val="en-GB"/>
                    </w:rPr>
                    <w:t>m高</w:t>
                  </w:r>
                  <w:r>
                    <w:rPr>
                      <w:rFonts w:hint="default" w:ascii="Times New Roman" w:hAnsi="Times New Roman" w:cs="Times New Roman"/>
                      <w:color w:val="auto"/>
                      <w:sz w:val="21"/>
                      <w:szCs w:val="21"/>
                      <w:lang w:val="en-GB" w:eastAsia="zh-CN"/>
                    </w:rPr>
                    <w:t>排气筒</w:t>
                  </w:r>
                </w:p>
              </w:tc>
              <w:tc>
                <w:tcPr>
                  <w:tcW w:w="1170" w:type="dxa"/>
                  <w:tcBorders>
                    <w:tl2br w:val="nil"/>
                    <w:tr2bl w:val="nil"/>
                  </w:tcBorders>
                  <w:noWrap w:val="0"/>
                  <w:vAlign w:val="center"/>
                </w:tcPr>
                <w:p w14:paraId="67C1DED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r>
            <w:tr w14:paraId="190044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895" w:type="dxa"/>
                  <w:tcBorders>
                    <w:tl2br w:val="nil"/>
                    <w:tr2bl w:val="nil"/>
                  </w:tcBorders>
                  <w:noWrap w:val="0"/>
                  <w:vAlign w:val="center"/>
                </w:tcPr>
                <w:p w14:paraId="6C4B1FC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废水</w:t>
                  </w:r>
                </w:p>
              </w:tc>
              <w:tc>
                <w:tcPr>
                  <w:tcW w:w="1632" w:type="dxa"/>
                  <w:tcBorders>
                    <w:tl2br w:val="nil"/>
                    <w:tr2bl w:val="nil"/>
                  </w:tcBorders>
                  <w:noWrap w:val="0"/>
                  <w:vAlign w:val="center"/>
                </w:tcPr>
                <w:p w14:paraId="69C4726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打磨废水、清洗废水</w:t>
                  </w:r>
                </w:p>
              </w:tc>
              <w:tc>
                <w:tcPr>
                  <w:tcW w:w="1408" w:type="dxa"/>
                  <w:tcBorders>
                    <w:tl2br w:val="nil"/>
                    <w:tr2bl w:val="nil"/>
                  </w:tcBorders>
                  <w:noWrap w:val="0"/>
                  <w:vAlign w:val="center"/>
                </w:tcPr>
                <w:p w14:paraId="45EFE0CA">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打磨废水、清洗废水</w:t>
                  </w:r>
                </w:p>
              </w:tc>
              <w:tc>
                <w:tcPr>
                  <w:tcW w:w="3392" w:type="dxa"/>
                  <w:tcBorders>
                    <w:tl2br w:val="nil"/>
                    <w:tr2bl w:val="nil"/>
                  </w:tcBorders>
                  <w:noWrap w:val="0"/>
                  <w:vAlign w:val="center"/>
                </w:tcPr>
                <w:p w14:paraId="5653F6F2">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沉淀池</w:t>
                  </w:r>
                  <w:r>
                    <w:rPr>
                      <w:rFonts w:hint="eastAsia" w:ascii="Times New Roman" w:hAnsi="Times New Roman" w:cs="Times New Roman"/>
                      <w:color w:val="auto"/>
                      <w:kern w:val="0"/>
                      <w:sz w:val="21"/>
                      <w:szCs w:val="21"/>
                      <w:lang w:val="en-US" w:eastAsia="zh-CN"/>
                    </w:rPr>
                    <w:t>+废水处理设备</w:t>
                  </w:r>
                </w:p>
              </w:tc>
              <w:tc>
                <w:tcPr>
                  <w:tcW w:w="1170" w:type="dxa"/>
                  <w:tcBorders>
                    <w:tl2br w:val="nil"/>
                    <w:tr2bl w:val="nil"/>
                  </w:tcBorders>
                  <w:noWrap w:val="0"/>
                  <w:vAlign w:val="center"/>
                </w:tcPr>
                <w:p w14:paraId="5E5CB6C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30</w:t>
                  </w:r>
                </w:p>
              </w:tc>
            </w:tr>
            <w:tr w14:paraId="1AEA74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95" w:type="dxa"/>
                  <w:vMerge w:val="restart"/>
                  <w:tcBorders>
                    <w:tl2br w:val="nil"/>
                    <w:tr2bl w:val="nil"/>
                  </w:tcBorders>
                  <w:noWrap w:val="0"/>
                  <w:vAlign w:val="center"/>
                </w:tcPr>
                <w:p w14:paraId="7D0F157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固废</w:t>
                  </w:r>
                </w:p>
              </w:tc>
              <w:tc>
                <w:tcPr>
                  <w:tcW w:w="1632" w:type="dxa"/>
                  <w:tcBorders>
                    <w:tl2br w:val="nil"/>
                    <w:tr2bl w:val="nil"/>
                  </w:tcBorders>
                  <w:noWrap w:val="0"/>
                  <w:vAlign w:val="center"/>
                </w:tcPr>
                <w:p w14:paraId="49CAFCC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生产工序</w:t>
                  </w:r>
                </w:p>
              </w:tc>
              <w:tc>
                <w:tcPr>
                  <w:tcW w:w="1408" w:type="dxa"/>
                  <w:tcBorders>
                    <w:tl2br w:val="nil"/>
                    <w:tr2bl w:val="nil"/>
                  </w:tcBorders>
                  <w:noWrap w:val="0"/>
                  <w:vAlign w:val="center"/>
                </w:tcPr>
                <w:p w14:paraId="52B09C2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一般固废</w:t>
                  </w:r>
                </w:p>
              </w:tc>
              <w:tc>
                <w:tcPr>
                  <w:tcW w:w="3392" w:type="dxa"/>
                  <w:tcBorders>
                    <w:tl2br w:val="nil"/>
                    <w:tr2bl w:val="nil"/>
                  </w:tcBorders>
                  <w:noWrap w:val="0"/>
                  <w:vAlign w:val="center"/>
                </w:tcPr>
                <w:p w14:paraId="319D1A2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一般固废暂存</w:t>
                  </w:r>
                  <w:r>
                    <w:rPr>
                      <w:rFonts w:hint="default" w:ascii="Times New Roman" w:hAnsi="Times New Roman" w:cs="Times New Roman"/>
                      <w:color w:val="auto"/>
                      <w:kern w:val="0"/>
                      <w:sz w:val="21"/>
                      <w:szCs w:val="21"/>
                      <w:lang w:val="en-US" w:eastAsia="zh-CN"/>
                    </w:rPr>
                    <w:t>间</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m</w:t>
                  </w:r>
                  <w:r>
                    <w:rPr>
                      <w:rFonts w:hint="default" w:ascii="Times New Roman" w:hAnsi="Times New Roman" w:cs="Times New Roman"/>
                      <w:color w:val="auto"/>
                      <w:kern w:val="0"/>
                      <w:sz w:val="21"/>
                      <w:szCs w:val="21"/>
                      <w:vertAlign w:val="superscript"/>
                    </w:rPr>
                    <w:t>2</w:t>
                  </w:r>
                </w:p>
              </w:tc>
              <w:tc>
                <w:tcPr>
                  <w:tcW w:w="1170" w:type="dxa"/>
                  <w:tcBorders>
                    <w:tl2br w:val="nil"/>
                    <w:tr2bl w:val="nil"/>
                  </w:tcBorders>
                  <w:noWrap w:val="0"/>
                  <w:vAlign w:val="center"/>
                </w:tcPr>
                <w:p w14:paraId="383D75C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r>
            <w:tr w14:paraId="6FCD16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895" w:type="dxa"/>
                  <w:vMerge w:val="continue"/>
                  <w:tcBorders>
                    <w:tl2br w:val="nil"/>
                    <w:tr2bl w:val="nil"/>
                  </w:tcBorders>
                  <w:noWrap w:val="0"/>
                  <w:vAlign w:val="center"/>
                </w:tcPr>
                <w:p w14:paraId="46FD451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p>
              </w:tc>
              <w:tc>
                <w:tcPr>
                  <w:tcW w:w="1632" w:type="dxa"/>
                  <w:tcBorders>
                    <w:tl2br w:val="nil"/>
                    <w:tr2bl w:val="nil"/>
                  </w:tcBorders>
                  <w:noWrap w:val="0"/>
                  <w:vAlign w:val="center"/>
                </w:tcPr>
                <w:p w14:paraId="7A54273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生产工序</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废</w:t>
                  </w:r>
                  <w:r>
                    <w:rPr>
                      <w:rFonts w:hint="default" w:ascii="Times New Roman" w:hAnsi="Times New Roman" w:cs="Times New Roman"/>
                      <w:color w:val="auto"/>
                      <w:kern w:val="0"/>
                      <w:sz w:val="21"/>
                      <w:szCs w:val="21"/>
                      <w:lang w:val="en-US" w:eastAsia="zh-CN"/>
                    </w:rPr>
                    <w:t>气</w:t>
                  </w:r>
                  <w:r>
                    <w:rPr>
                      <w:rFonts w:hint="default" w:ascii="Times New Roman" w:hAnsi="Times New Roman" w:cs="Times New Roman"/>
                      <w:color w:val="auto"/>
                      <w:kern w:val="0"/>
                      <w:sz w:val="21"/>
                      <w:szCs w:val="21"/>
                    </w:rPr>
                    <w:t>处理</w:t>
                  </w:r>
                </w:p>
              </w:tc>
              <w:tc>
                <w:tcPr>
                  <w:tcW w:w="1408" w:type="dxa"/>
                  <w:tcBorders>
                    <w:tl2br w:val="nil"/>
                    <w:tr2bl w:val="nil"/>
                  </w:tcBorders>
                  <w:noWrap w:val="0"/>
                  <w:vAlign w:val="center"/>
                </w:tcPr>
                <w:p w14:paraId="536C0DB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3392" w:type="dxa"/>
                  <w:tcBorders>
                    <w:tl2br w:val="nil"/>
                    <w:tr2bl w:val="nil"/>
                  </w:tcBorders>
                  <w:noWrap w:val="0"/>
                  <w:vAlign w:val="center"/>
                </w:tcPr>
                <w:p w14:paraId="0AC29DC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危废暂存间，</w:t>
                  </w:r>
                  <w:r>
                    <w:rPr>
                      <w:rFonts w:hint="eastAsia"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rPr>
                    <w:t>0m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r>
                    <w:rPr>
                      <w:rFonts w:hint="default" w:ascii="Times New Roman" w:hAnsi="Times New Roman" w:cs="Times New Roman"/>
                      <w:color w:val="auto"/>
                      <w:kern w:val="0"/>
                      <w:sz w:val="21"/>
                      <w:szCs w:val="21"/>
                      <w:lang w:val="en-US" w:eastAsia="zh-CN"/>
                    </w:rPr>
                    <w:t>危废</w:t>
                  </w:r>
                  <w:r>
                    <w:rPr>
                      <w:rFonts w:hint="default" w:ascii="Times New Roman" w:hAnsi="Times New Roman" w:cs="Times New Roman"/>
                      <w:color w:val="auto"/>
                      <w:sz w:val="21"/>
                      <w:szCs w:val="21"/>
                    </w:rPr>
                    <w:t>委托有资质的危废处理单位回收处理</w:t>
                  </w:r>
                </w:p>
              </w:tc>
              <w:tc>
                <w:tcPr>
                  <w:tcW w:w="1170" w:type="dxa"/>
                  <w:tcBorders>
                    <w:tl2br w:val="nil"/>
                    <w:tr2bl w:val="nil"/>
                  </w:tcBorders>
                  <w:noWrap w:val="0"/>
                  <w:vAlign w:val="center"/>
                </w:tcPr>
                <w:p w14:paraId="325B4708">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r>
            <w:tr w14:paraId="077B71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95" w:type="dxa"/>
                  <w:vMerge w:val="continue"/>
                  <w:tcBorders>
                    <w:tl2br w:val="nil"/>
                    <w:tr2bl w:val="nil"/>
                  </w:tcBorders>
                  <w:noWrap w:val="0"/>
                  <w:vAlign w:val="center"/>
                </w:tcPr>
                <w:p w14:paraId="25B59E9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p>
              </w:tc>
              <w:tc>
                <w:tcPr>
                  <w:tcW w:w="1632" w:type="dxa"/>
                  <w:tcBorders>
                    <w:tl2br w:val="nil"/>
                    <w:tr2bl w:val="nil"/>
                  </w:tcBorders>
                  <w:noWrap w:val="0"/>
                  <w:vAlign w:val="center"/>
                </w:tcPr>
                <w:p w14:paraId="298E0D4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办公生活</w:t>
                  </w:r>
                </w:p>
              </w:tc>
              <w:tc>
                <w:tcPr>
                  <w:tcW w:w="1408" w:type="dxa"/>
                  <w:tcBorders>
                    <w:tl2br w:val="nil"/>
                    <w:tr2bl w:val="nil"/>
                  </w:tcBorders>
                  <w:noWrap w:val="0"/>
                  <w:vAlign w:val="center"/>
                </w:tcPr>
                <w:p w14:paraId="577A6888">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生活垃圾</w:t>
                  </w:r>
                </w:p>
              </w:tc>
              <w:tc>
                <w:tcPr>
                  <w:tcW w:w="3392" w:type="dxa"/>
                  <w:tcBorders>
                    <w:tl2br w:val="nil"/>
                    <w:tr2bl w:val="nil"/>
                  </w:tcBorders>
                  <w:noWrap w:val="0"/>
                  <w:vAlign w:val="center"/>
                </w:tcPr>
                <w:p w14:paraId="286F2E6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设置垃圾桶，委托环卫部门处置</w:t>
                  </w:r>
                </w:p>
              </w:tc>
              <w:tc>
                <w:tcPr>
                  <w:tcW w:w="1170" w:type="dxa"/>
                  <w:tcBorders>
                    <w:tl2br w:val="nil"/>
                    <w:tr2bl w:val="nil"/>
                  </w:tcBorders>
                  <w:noWrap w:val="0"/>
                  <w:vAlign w:val="center"/>
                </w:tcPr>
                <w:p w14:paraId="0E2391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0.5</w:t>
                  </w:r>
                </w:p>
              </w:tc>
            </w:tr>
            <w:tr w14:paraId="1288D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95" w:type="dxa"/>
                  <w:tcBorders>
                    <w:tl2br w:val="nil"/>
                    <w:tr2bl w:val="nil"/>
                  </w:tcBorders>
                  <w:noWrap w:val="0"/>
                  <w:vAlign w:val="center"/>
                </w:tcPr>
                <w:p w14:paraId="07A81D3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噪声</w:t>
                  </w:r>
                </w:p>
              </w:tc>
              <w:tc>
                <w:tcPr>
                  <w:tcW w:w="1632" w:type="dxa"/>
                  <w:tcBorders>
                    <w:tl2br w:val="nil"/>
                    <w:tr2bl w:val="nil"/>
                  </w:tcBorders>
                  <w:noWrap w:val="0"/>
                  <w:vAlign w:val="center"/>
                </w:tcPr>
                <w:p w14:paraId="2CFE2646">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生产设备</w:t>
                  </w:r>
                </w:p>
              </w:tc>
              <w:tc>
                <w:tcPr>
                  <w:tcW w:w="1408" w:type="dxa"/>
                  <w:tcBorders>
                    <w:tl2br w:val="nil"/>
                    <w:tr2bl w:val="nil"/>
                  </w:tcBorders>
                  <w:noWrap w:val="0"/>
                  <w:vAlign w:val="center"/>
                </w:tcPr>
                <w:p w14:paraId="37F87172">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噪声</w:t>
                  </w:r>
                </w:p>
              </w:tc>
              <w:tc>
                <w:tcPr>
                  <w:tcW w:w="3392" w:type="dxa"/>
                  <w:tcBorders>
                    <w:tl2br w:val="nil"/>
                    <w:tr2bl w:val="nil"/>
                  </w:tcBorders>
                  <w:noWrap w:val="0"/>
                  <w:vAlign w:val="center"/>
                </w:tcPr>
                <w:p w14:paraId="65BA6A1E">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采用减振、隔声、消声等降噪措施</w:t>
                  </w:r>
                </w:p>
              </w:tc>
              <w:tc>
                <w:tcPr>
                  <w:tcW w:w="1170" w:type="dxa"/>
                  <w:tcBorders>
                    <w:tl2br w:val="nil"/>
                    <w:tr2bl w:val="nil"/>
                  </w:tcBorders>
                  <w:noWrap w:val="0"/>
                  <w:vAlign w:val="center"/>
                </w:tcPr>
                <w:p w14:paraId="56A5E11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w:t>
                  </w:r>
                </w:p>
              </w:tc>
            </w:tr>
            <w:tr w14:paraId="5775F7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895" w:type="dxa"/>
                  <w:tcBorders>
                    <w:tl2br w:val="nil"/>
                    <w:tr2bl w:val="nil"/>
                  </w:tcBorders>
                  <w:noWrap w:val="0"/>
                  <w:vAlign w:val="center"/>
                </w:tcPr>
                <w:p w14:paraId="7EF1ABB3">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地下水、土壤</w:t>
                  </w:r>
                </w:p>
              </w:tc>
              <w:tc>
                <w:tcPr>
                  <w:tcW w:w="6432" w:type="dxa"/>
                  <w:gridSpan w:val="3"/>
                  <w:tcBorders>
                    <w:tl2br w:val="nil"/>
                    <w:tr2bl w:val="nil"/>
                  </w:tcBorders>
                  <w:noWrap w:val="0"/>
                  <w:vAlign w:val="center"/>
                </w:tcPr>
                <w:p w14:paraId="52AA3866">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分区防渗</w:t>
                  </w:r>
                </w:p>
              </w:tc>
              <w:tc>
                <w:tcPr>
                  <w:tcW w:w="1170" w:type="dxa"/>
                  <w:tcBorders>
                    <w:tl2br w:val="nil"/>
                    <w:tr2bl w:val="nil"/>
                  </w:tcBorders>
                  <w:noWrap w:val="0"/>
                  <w:vAlign w:val="center"/>
                </w:tcPr>
                <w:p w14:paraId="044B0A1D">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25</w:t>
                  </w:r>
                </w:p>
              </w:tc>
            </w:tr>
            <w:tr w14:paraId="3F4E24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895" w:type="dxa"/>
                  <w:tcBorders>
                    <w:tl2br w:val="nil"/>
                    <w:tr2bl w:val="nil"/>
                  </w:tcBorders>
                  <w:noWrap w:val="0"/>
                  <w:vAlign w:val="center"/>
                </w:tcPr>
                <w:p w14:paraId="162AB62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p>
              </w:tc>
              <w:tc>
                <w:tcPr>
                  <w:tcW w:w="6432" w:type="dxa"/>
                  <w:gridSpan w:val="3"/>
                  <w:tcBorders>
                    <w:tl2br w:val="nil"/>
                    <w:tr2bl w:val="nil"/>
                  </w:tcBorders>
                  <w:noWrap w:val="0"/>
                  <w:vAlign w:val="center"/>
                </w:tcPr>
                <w:p w14:paraId="23EEEDE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合计</w:t>
                  </w:r>
                </w:p>
              </w:tc>
              <w:tc>
                <w:tcPr>
                  <w:tcW w:w="1170" w:type="dxa"/>
                  <w:tcBorders>
                    <w:tl2br w:val="nil"/>
                    <w:tr2bl w:val="nil"/>
                  </w:tcBorders>
                  <w:noWrap w:val="0"/>
                  <w:vAlign w:val="center"/>
                </w:tcPr>
                <w:p w14:paraId="55E04935">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79</w:t>
                  </w:r>
                  <w:r>
                    <w:rPr>
                      <w:rFonts w:hint="eastAsia" w:ascii="Times New Roman" w:hAnsi="Times New Roman" w:cs="Times New Roman"/>
                      <w:color w:val="auto"/>
                      <w:kern w:val="0"/>
                      <w:sz w:val="21"/>
                      <w:szCs w:val="21"/>
                      <w:lang w:val="en-US" w:eastAsia="zh-CN"/>
                    </w:rPr>
                    <w:t>.5</w:t>
                  </w:r>
                </w:p>
              </w:tc>
            </w:tr>
          </w:tbl>
          <w:p w14:paraId="5F9397EA">
            <w:pPr>
              <w:pStyle w:val="16"/>
              <w:adjustRightInd w:val="0"/>
              <w:snapToGrid w:val="0"/>
              <w:spacing w:before="0" w:beforeAutospacing="0" w:after="0" w:afterAutospacing="0" w:line="360" w:lineRule="auto"/>
              <w:rPr>
                <w:rFonts w:hint="default"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lang w:eastAsia="zh-CN"/>
              </w:rPr>
              <w:t>、电磁辐射</w:t>
            </w:r>
          </w:p>
          <w:p w14:paraId="5650CDDA">
            <w:pPr>
              <w:spacing w:line="360" w:lineRule="auto"/>
              <w:ind w:firstLine="480" w:firstLineChars="200"/>
              <w:rPr>
                <w:rFonts w:hint="eastAsia" w:cs="Times New Roman"/>
                <w:color w:val="auto"/>
                <w:sz w:val="24"/>
                <w:szCs w:val="24"/>
                <w:lang w:eastAsia="zh-CN"/>
              </w:rPr>
            </w:pPr>
            <w:r>
              <w:rPr>
                <w:rFonts w:hint="default" w:ascii="Times New Roman" w:hAnsi="Times New Roman" w:eastAsia="宋体" w:cs="Times New Roman"/>
                <w:color w:val="auto"/>
                <w:sz w:val="24"/>
                <w:szCs w:val="24"/>
              </w:rPr>
              <w:t>本项目不涉及电磁辐射相关内容</w:t>
            </w:r>
            <w:r>
              <w:rPr>
                <w:rFonts w:hint="eastAsia" w:cs="Times New Roman"/>
                <w:color w:val="auto"/>
                <w:sz w:val="24"/>
                <w:szCs w:val="24"/>
                <w:lang w:eastAsia="zh-CN"/>
              </w:rPr>
              <w:t>。</w:t>
            </w:r>
          </w:p>
          <w:p w14:paraId="747EA5FE">
            <w:pPr>
              <w:spacing w:line="360" w:lineRule="auto"/>
              <w:ind w:firstLine="480" w:firstLineChars="200"/>
              <w:rPr>
                <w:rFonts w:hint="eastAsia" w:cs="Times New Roman"/>
                <w:color w:val="auto"/>
                <w:sz w:val="24"/>
                <w:szCs w:val="24"/>
                <w:lang w:eastAsia="zh-CN"/>
              </w:rPr>
            </w:pPr>
          </w:p>
          <w:p w14:paraId="6EE28FA3">
            <w:pPr>
              <w:pStyle w:val="2"/>
              <w:rPr>
                <w:rFonts w:hint="eastAsia" w:cs="Times New Roman"/>
                <w:color w:val="auto"/>
                <w:sz w:val="24"/>
                <w:szCs w:val="24"/>
                <w:lang w:eastAsia="zh-CN"/>
              </w:rPr>
            </w:pPr>
          </w:p>
          <w:p w14:paraId="52B5CE55">
            <w:pPr>
              <w:rPr>
                <w:rFonts w:hint="eastAsia" w:cs="Times New Roman"/>
                <w:color w:val="auto"/>
                <w:sz w:val="24"/>
                <w:szCs w:val="24"/>
                <w:lang w:eastAsia="zh-CN"/>
              </w:rPr>
            </w:pPr>
          </w:p>
          <w:p w14:paraId="782EE7F1">
            <w:pPr>
              <w:pStyle w:val="2"/>
              <w:rPr>
                <w:rFonts w:hint="eastAsia" w:cs="Times New Roman"/>
                <w:color w:val="auto"/>
                <w:sz w:val="24"/>
                <w:szCs w:val="24"/>
                <w:lang w:eastAsia="zh-CN"/>
              </w:rPr>
            </w:pPr>
          </w:p>
          <w:p w14:paraId="01C5B13B">
            <w:pPr>
              <w:rPr>
                <w:rFonts w:hint="eastAsia" w:cs="Times New Roman"/>
                <w:color w:val="auto"/>
                <w:sz w:val="24"/>
                <w:szCs w:val="24"/>
                <w:lang w:eastAsia="zh-CN"/>
              </w:rPr>
            </w:pPr>
          </w:p>
          <w:p w14:paraId="03FE1733">
            <w:pPr>
              <w:pStyle w:val="2"/>
              <w:rPr>
                <w:rFonts w:hint="eastAsia"/>
                <w:lang w:eastAsia="zh-CN"/>
              </w:rPr>
            </w:pPr>
          </w:p>
          <w:p w14:paraId="1DE14662">
            <w:pPr>
              <w:spacing w:line="360" w:lineRule="auto"/>
              <w:rPr>
                <w:rFonts w:hint="default" w:cs="Times New Roman"/>
                <w:color w:val="auto"/>
                <w:sz w:val="24"/>
                <w:szCs w:val="24"/>
                <w:lang w:eastAsia="zh-CN"/>
              </w:rPr>
            </w:pPr>
          </w:p>
        </w:tc>
      </w:tr>
    </w:tbl>
    <w:p w14:paraId="6AF35FA4">
      <w:pPr>
        <w:bidi w:val="0"/>
        <w:rPr>
          <w:rFonts w:hint="eastAsia"/>
          <w:color w:val="auto"/>
        </w:rPr>
        <w:sectPr>
          <w:pgSz w:w="11906"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731BC69">
      <w:pPr>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五、</w:t>
      </w:r>
      <w:bookmarkStart w:id="7" w:name="_Hlk54167917"/>
      <w:r>
        <w:rPr>
          <w:rFonts w:hint="eastAsia" w:ascii="黑体" w:hAnsi="黑体" w:eastAsia="黑体"/>
          <w:snapToGrid w:val="0"/>
          <w:color w:val="auto"/>
          <w:sz w:val="30"/>
          <w:szCs w:val="30"/>
        </w:rPr>
        <w:t>环境保护措施监督检查清单</w:t>
      </w:r>
      <w:bookmarkEnd w:id="7"/>
    </w:p>
    <w:tbl>
      <w:tblPr>
        <w:tblStyle w:val="19"/>
        <w:tblW w:w="9646" w:type="dxa"/>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948"/>
        <w:gridCol w:w="1626"/>
        <w:gridCol w:w="2281"/>
        <w:gridCol w:w="2580"/>
      </w:tblGrid>
      <w:tr w14:paraId="40987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1" w:type="dxa"/>
            <w:tcBorders>
              <w:tl2br w:val="single" w:color="auto" w:sz="4" w:space="0"/>
            </w:tcBorders>
            <w:noWrap w:val="0"/>
            <w:vAlign w:val="top"/>
          </w:tcPr>
          <w:p w14:paraId="30157E22">
            <w:pPr>
              <w:adjustRightInd w:val="0"/>
              <w:snapToGrid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p w14:paraId="31B738F8">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948" w:type="dxa"/>
            <w:noWrap w:val="0"/>
            <w:vAlign w:val="center"/>
          </w:tcPr>
          <w:p w14:paraId="5EBE4BC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w:t>
            </w:r>
          </w:p>
          <w:p w14:paraId="661AB7B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名称)/污染源</w:t>
            </w:r>
          </w:p>
        </w:tc>
        <w:tc>
          <w:tcPr>
            <w:tcW w:w="1626" w:type="dxa"/>
            <w:noWrap w:val="0"/>
            <w:vAlign w:val="center"/>
          </w:tcPr>
          <w:p w14:paraId="7B388A2C">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污染物项目</w:t>
            </w:r>
          </w:p>
        </w:tc>
        <w:tc>
          <w:tcPr>
            <w:tcW w:w="2281" w:type="dxa"/>
            <w:noWrap w:val="0"/>
            <w:vAlign w:val="center"/>
          </w:tcPr>
          <w:p w14:paraId="3655DCA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2580" w:type="dxa"/>
            <w:noWrap w:val="0"/>
            <w:vAlign w:val="center"/>
          </w:tcPr>
          <w:p w14:paraId="76B7B2E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14:paraId="5AB3F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211" w:type="dxa"/>
            <w:noWrap w:val="0"/>
            <w:vAlign w:val="center"/>
          </w:tcPr>
          <w:p w14:paraId="740162D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tc>
        <w:tc>
          <w:tcPr>
            <w:tcW w:w="1948" w:type="dxa"/>
            <w:noWrap w:val="0"/>
            <w:vAlign w:val="center"/>
          </w:tcPr>
          <w:p w14:paraId="354A7619">
            <w:pPr>
              <w:adjustRightInd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调胶、涂胶、封胶有机废气（DA001）</w:t>
            </w:r>
          </w:p>
        </w:tc>
        <w:tc>
          <w:tcPr>
            <w:tcW w:w="1626" w:type="dxa"/>
            <w:noWrap w:val="0"/>
            <w:vAlign w:val="center"/>
          </w:tcPr>
          <w:p w14:paraId="6C8DB8F0">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 w:val="24"/>
                <w:szCs w:val="24"/>
                <w:lang w:val="en-US" w:eastAsia="zh-CN"/>
              </w:rPr>
              <w:t>非甲烷总烃</w:t>
            </w:r>
          </w:p>
        </w:tc>
        <w:tc>
          <w:tcPr>
            <w:tcW w:w="2281" w:type="dxa"/>
            <w:noWrap w:val="0"/>
            <w:vAlign w:val="center"/>
          </w:tcPr>
          <w:p w14:paraId="735FEDD4">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lang w:val="en-GB"/>
              </w:rPr>
              <w:t>分区集气罩</w:t>
            </w:r>
            <w:r>
              <w:rPr>
                <w:rFonts w:hint="default" w:ascii="Times New Roman" w:hAnsi="Times New Roman" w:eastAsia="宋体" w:cs="Times New Roman"/>
                <w:color w:val="auto"/>
                <w:sz w:val="24"/>
                <w:szCs w:val="22"/>
                <w:lang w:val="en-GB"/>
              </w:rPr>
              <w:t>+</w:t>
            </w:r>
            <w:r>
              <w:rPr>
                <w:rFonts w:hint="default" w:ascii="Times New Roman" w:hAnsi="Times New Roman" w:eastAsia="宋体" w:cs="Times New Roman"/>
                <w:color w:val="auto"/>
                <w:sz w:val="24"/>
                <w:lang w:val="en-GB" w:eastAsia="zh-CN"/>
              </w:rPr>
              <w:t>二级</w:t>
            </w:r>
            <w:r>
              <w:rPr>
                <w:rFonts w:hint="default" w:ascii="Times New Roman" w:hAnsi="Times New Roman" w:eastAsia="宋体" w:cs="Times New Roman"/>
                <w:color w:val="auto"/>
                <w:sz w:val="24"/>
                <w:lang w:val="en-GB"/>
              </w:rPr>
              <w:t>活性炭吸附+</w:t>
            </w:r>
            <w:r>
              <w:rPr>
                <w:rFonts w:hint="default" w:ascii="Times New Roman" w:hAnsi="Times New Roman" w:cs="Times New Roman"/>
                <w:color w:val="auto"/>
                <w:sz w:val="24"/>
                <w:lang w:val="en-US" w:eastAsia="zh-CN"/>
              </w:rPr>
              <w:t>15</w:t>
            </w:r>
            <w:r>
              <w:rPr>
                <w:rFonts w:hint="default" w:ascii="Times New Roman" w:hAnsi="Times New Roman" w:eastAsia="宋体" w:cs="Times New Roman"/>
                <w:color w:val="auto"/>
                <w:sz w:val="24"/>
                <w:lang w:val="en-GB"/>
              </w:rPr>
              <w:t>m高</w:t>
            </w:r>
            <w:r>
              <w:rPr>
                <w:rFonts w:hint="default" w:ascii="Times New Roman" w:hAnsi="Times New Roman" w:eastAsia="宋体" w:cs="Times New Roman"/>
                <w:color w:val="auto"/>
                <w:sz w:val="24"/>
                <w:lang w:val="en-US" w:eastAsia="zh-CN"/>
              </w:rPr>
              <w:t>1#排气筒</w:t>
            </w:r>
          </w:p>
        </w:tc>
        <w:tc>
          <w:tcPr>
            <w:tcW w:w="2580" w:type="dxa"/>
            <w:noWrap w:val="0"/>
            <w:vAlign w:val="center"/>
          </w:tcPr>
          <w:p w14:paraId="1C2CC7B6">
            <w:pPr>
              <w:adjustRightInd w:val="0"/>
              <w:snapToGrid w:val="0"/>
              <w:jc w:val="center"/>
              <w:rPr>
                <w:rFonts w:hint="default" w:ascii="Times New Roman" w:hAnsi="Times New Roman" w:eastAsia="宋体" w:cs="Times New Roman"/>
                <w:color w:val="auto"/>
                <w:sz w:val="24"/>
                <w:szCs w:val="24"/>
                <w:lang w:val="en-US"/>
              </w:rPr>
            </w:pPr>
            <w:r>
              <w:rPr>
                <w:rFonts w:hint="default" w:ascii="Times New Roman" w:hAnsi="Times New Roman" w:cs="Times New Roman"/>
                <w:color w:val="auto"/>
                <w:sz w:val="24"/>
                <w:lang w:eastAsia="zh-CN"/>
              </w:rPr>
              <w:t>有组织</w:t>
            </w:r>
            <w:r>
              <w:rPr>
                <w:rFonts w:hint="default" w:ascii="Times New Roman" w:hAnsi="Times New Roman" w:cs="Times New Roman"/>
                <w:color w:val="auto"/>
                <w:sz w:val="24"/>
                <w:szCs w:val="24"/>
              </w:rPr>
              <w:t>排放</w:t>
            </w:r>
            <w:r>
              <w:rPr>
                <w:rFonts w:hint="default" w:ascii="Times New Roman" w:hAnsi="Times New Roman" w:cs="Times New Roman"/>
                <w:color w:val="auto"/>
                <w:sz w:val="24"/>
                <w:szCs w:val="24"/>
                <w:lang w:eastAsia="zh-CN"/>
              </w:rPr>
              <w:t>满足《玻璃工业大气污染物排放标准》（GB26453-2022）表1标准要求</w:t>
            </w:r>
            <w:r>
              <w:rPr>
                <w:rFonts w:hint="default" w:ascii="Times New Roman" w:hAnsi="Times New Roman" w:cs="Times New Roman"/>
                <w:color w:val="auto"/>
                <w:sz w:val="24"/>
                <w:lang w:eastAsia="zh-CN"/>
              </w:rPr>
              <w:t>，厂区内无组织</w:t>
            </w:r>
            <w:r>
              <w:rPr>
                <w:rFonts w:hint="default" w:ascii="Times New Roman" w:hAnsi="Times New Roman" w:cs="Times New Roman"/>
                <w:color w:val="auto"/>
                <w:sz w:val="24"/>
                <w:szCs w:val="24"/>
              </w:rPr>
              <w:t>排放</w:t>
            </w:r>
            <w:r>
              <w:rPr>
                <w:rFonts w:hint="default" w:ascii="Times New Roman" w:hAnsi="Times New Roman" w:cs="Times New Roman"/>
                <w:color w:val="auto"/>
                <w:sz w:val="24"/>
                <w:szCs w:val="24"/>
                <w:lang w:eastAsia="zh-CN"/>
              </w:rPr>
              <w:t>满足《玻璃工业大气污染物排放标准》（GB26453-2022）表</w:t>
            </w:r>
            <w:r>
              <w:rPr>
                <w:rFonts w:hint="default" w:ascii="Times New Roman" w:hAnsi="Times New Roman" w:cs="Times New Roman"/>
                <w:color w:val="auto"/>
                <w:sz w:val="24"/>
                <w:szCs w:val="24"/>
                <w:lang w:val="en-US" w:eastAsia="zh-CN"/>
              </w:rPr>
              <w:t>B.1</w:t>
            </w:r>
            <w:r>
              <w:rPr>
                <w:rFonts w:hint="default" w:ascii="Times New Roman" w:hAnsi="Times New Roman" w:cs="Times New Roman"/>
                <w:color w:val="auto"/>
                <w:sz w:val="24"/>
                <w:szCs w:val="24"/>
                <w:lang w:eastAsia="zh-CN"/>
              </w:rPr>
              <w:t>标准要求，厂界无组织排放参照《大气污染物综合排放标准》（GB16297-1996）表2无组织监控浓度限值要求</w:t>
            </w:r>
          </w:p>
        </w:tc>
      </w:tr>
      <w:tr w14:paraId="7DED3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11" w:type="dxa"/>
            <w:vMerge w:val="restart"/>
            <w:noWrap w:val="0"/>
            <w:vAlign w:val="center"/>
          </w:tcPr>
          <w:p w14:paraId="349AEF4F">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w:t>
            </w:r>
          </w:p>
          <w:p w14:paraId="38350FD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tc>
        <w:tc>
          <w:tcPr>
            <w:tcW w:w="1948" w:type="dxa"/>
            <w:noWrap w:val="0"/>
            <w:vAlign w:val="center"/>
          </w:tcPr>
          <w:p w14:paraId="2CF5EA15">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生活污水</w:t>
            </w:r>
          </w:p>
        </w:tc>
        <w:tc>
          <w:tcPr>
            <w:tcW w:w="1626" w:type="dxa"/>
            <w:noWrap w:val="0"/>
            <w:vAlign w:val="center"/>
          </w:tcPr>
          <w:p w14:paraId="79ADD32A">
            <w:pPr>
              <w:spacing w:line="24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COD</w:t>
            </w:r>
          </w:p>
          <w:p w14:paraId="1599A4F0">
            <w:pPr>
              <w:spacing w:line="24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BOD</w:t>
            </w:r>
            <w:r>
              <w:rPr>
                <w:rFonts w:hint="default" w:ascii="Times New Roman" w:hAnsi="Times New Roman" w:cs="Times New Roman"/>
                <w:color w:val="auto"/>
                <w:sz w:val="24"/>
                <w:vertAlign w:val="subscript"/>
              </w:rPr>
              <w:t>5</w:t>
            </w:r>
          </w:p>
          <w:p w14:paraId="77C6318F">
            <w:pPr>
              <w:spacing w:line="24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SS</w:t>
            </w:r>
          </w:p>
          <w:p w14:paraId="246B41CD">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rPr>
              <w:t>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w:t>
            </w:r>
          </w:p>
        </w:tc>
        <w:tc>
          <w:tcPr>
            <w:tcW w:w="2281" w:type="dxa"/>
            <w:noWrap w:val="0"/>
            <w:vAlign w:val="center"/>
          </w:tcPr>
          <w:p w14:paraId="337310FE">
            <w:pPr>
              <w:adjustRightInd w:val="0"/>
              <w:snapToGrid w:val="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val="0"/>
                <w:bCs w:val="0"/>
                <w:color w:val="auto"/>
                <w:sz w:val="24"/>
                <w:szCs w:val="24"/>
                <w:vertAlign w:val="baseline"/>
                <w:lang w:val="en-US" w:eastAsia="zh-CN"/>
              </w:rPr>
              <w:t>生活污水经</w:t>
            </w:r>
            <w:r>
              <w:rPr>
                <w:rFonts w:hint="default" w:ascii="Times New Roman" w:hAnsi="Times New Roman" w:cs="Times New Roman"/>
                <w:b w:val="0"/>
                <w:bCs w:val="0"/>
                <w:color w:val="auto"/>
                <w:sz w:val="24"/>
                <w:szCs w:val="24"/>
                <w:vertAlign w:val="baseline"/>
                <w:lang w:val="en-US" w:eastAsia="zh-CN"/>
              </w:rPr>
              <w:t>厂区现有化粪池</w:t>
            </w:r>
            <w:r>
              <w:rPr>
                <w:rFonts w:hint="default" w:ascii="Times New Roman" w:hAnsi="Times New Roman" w:eastAsia="宋体" w:cs="Times New Roman"/>
                <w:b w:val="0"/>
                <w:bCs w:val="0"/>
                <w:color w:val="auto"/>
                <w:sz w:val="24"/>
                <w:szCs w:val="24"/>
                <w:vertAlign w:val="baseline"/>
                <w:lang w:val="en-US" w:eastAsia="zh-CN"/>
              </w:rPr>
              <w:t>预处理后</w:t>
            </w:r>
            <w:r>
              <w:rPr>
                <w:rFonts w:hint="default" w:ascii="Times New Roman" w:hAnsi="Times New Roman" w:cs="Times New Roman"/>
                <w:b w:val="0"/>
                <w:bCs w:val="0"/>
                <w:color w:val="auto"/>
                <w:sz w:val="24"/>
                <w:szCs w:val="24"/>
                <w:vertAlign w:val="baseline"/>
                <w:lang w:val="en-US" w:eastAsia="zh-CN"/>
              </w:rPr>
              <w:t>由污水管网</w:t>
            </w:r>
            <w:r>
              <w:rPr>
                <w:rFonts w:hint="default" w:ascii="Times New Roman" w:hAnsi="Times New Roman" w:eastAsia="宋体" w:cs="Times New Roman"/>
                <w:b w:val="0"/>
                <w:bCs w:val="0"/>
                <w:color w:val="auto"/>
                <w:sz w:val="24"/>
                <w:szCs w:val="24"/>
                <w:vertAlign w:val="baseline"/>
                <w:lang w:val="en-US" w:eastAsia="zh-CN"/>
              </w:rPr>
              <w:t>排入</w:t>
            </w:r>
            <w:r>
              <w:rPr>
                <w:rFonts w:hint="eastAsia" w:ascii="Times New Roman" w:hAnsi="Times New Roman" w:cs="Times New Roman"/>
                <w:b w:val="0"/>
                <w:bCs w:val="0"/>
                <w:color w:val="auto"/>
                <w:sz w:val="24"/>
                <w:szCs w:val="24"/>
                <w:vertAlign w:val="baseline"/>
                <w:lang w:val="en-US" w:eastAsia="zh-CN"/>
              </w:rPr>
              <w:t>调兵山城市</w:t>
            </w:r>
            <w:r>
              <w:rPr>
                <w:rFonts w:hint="default" w:ascii="Times New Roman" w:hAnsi="Times New Roman" w:eastAsia="宋体" w:cs="Times New Roman"/>
                <w:b w:val="0"/>
                <w:bCs w:val="0"/>
                <w:color w:val="auto"/>
                <w:sz w:val="24"/>
                <w:szCs w:val="24"/>
                <w:vertAlign w:val="baseline"/>
                <w:lang w:val="en-US" w:eastAsia="zh-CN"/>
              </w:rPr>
              <w:t>污水处理厂</w:t>
            </w:r>
            <w:r>
              <w:rPr>
                <w:rFonts w:hint="default" w:ascii="Times New Roman" w:hAnsi="Times New Roman" w:cs="Times New Roman"/>
                <w:b w:val="0"/>
                <w:bCs w:val="0"/>
                <w:color w:val="auto"/>
                <w:sz w:val="24"/>
                <w:szCs w:val="24"/>
                <w:vertAlign w:val="baseline"/>
                <w:lang w:val="en-US" w:eastAsia="zh-CN"/>
              </w:rPr>
              <w:t>处理达标排放</w:t>
            </w:r>
          </w:p>
        </w:tc>
        <w:tc>
          <w:tcPr>
            <w:tcW w:w="2580" w:type="dxa"/>
            <w:noWrap w:val="0"/>
            <w:vAlign w:val="center"/>
          </w:tcPr>
          <w:p w14:paraId="65CE96F7">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《辽宁省污水综合排放标准》（DB21/1267-2008）表2以及调兵山城市污水处理厂的接管标准</w:t>
            </w:r>
          </w:p>
        </w:tc>
      </w:tr>
      <w:tr w14:paraId="63BE4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11" w:type="dxa"/>
            <w:vMerge w:val="continue"/>
            <w:noWrap w:val="0"/>
            <w:vAlign w:val="center"/>
          </w:tcPr>
          <w:p w14:paraId="10042219">
            <w:pPr>
              <w:adjustRightInd w:val="0"/>
              <w:snapToGrid w:val="0"/>
              <w:jc w:val="center"/>
            </w:pPr>
          </w:p>
        </w:tc>
        <w:tc>
          <w:tcPr>
            <w:tcW w:w="1948" w:type="dxa"/>
            <w:noWrap w:val="0"/>
            <w:vAlign w:val="center"/>
          </w:tcPr>
          <w:p w14:paraId="67CA10D8">
            <w:pPr>
              <w:adjustRightInd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打磨废水、清洗废水</w:t>
            </w:r>
          </w:p>
        </w:tc>
        <w:tc>
          <w:tcPr>
            <w:tcW w:w="1626" w:type="dxa"/>
            <w:noWrap w:val="0"/>
            <w:vAlign w:val="center"/>
          </w:tcPr>
          <w:p w14:paraId="7AC756D0">
            <w:pPr>
              <w:spacing w:line="24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SS</w:t>
            </w:r>
          </w:p>
        </w:tc>
        <w:tc>
          <w:tcPr>
            <w:tcW w:w="2281" w:type="dxa"/>
            <w:noWrap w:val="0"/>
            <w:vAlign w:val="center"/>
          </w:tcPr>
          <w:p w14:paraId="0EF33590">
            <w:pPr>
              <w:adjustRightInd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经</w:t>
            </w:r>
            <w:r>
              <w:rPr>
                <w:rFonts w:hint="eastAsia" w:ascii="Times New Roman" w:hAnsi="Times New Roman" w:cs="Times New Roman"/>
                <w:color w:val="auto"/>
                <w:kern w:val="0"/>
                <w:sz w:val="24"/>
                <w:szCs w:val="24"/>
                <w:lang w:val="en-US" w:eastAsia="zh-CN"/>
              </w:rPr>
              <w:t>沉淀+絮凝+压滤</w:t>
            </w:r>
            <w:r>
              <w:rPr>
                <w:rFonts w:hint="default" w:ascii="Times New Roman" w:hAnsi="Times New Roman" w:eastAsia="宋体" w:cs="Times New Roman"/>
                <w:color w:val="auto"/>
                <w:kern w:val="0"/>
                <w:sz w:val="24"/>
                <w:szCs w:val="24"/>
                <w:lang w:val="en-US" w:eastAsia="zh-CN"/>
              </w:rPr>
              <w:t>处理后，循环使用沉淀池规格为3.6m×8m×3.2m</w:t>
            </w:r>
          </w:p>
        </w:tc>
        <w:tc>
          <w:tcPr>
            <w:tcW w:w="2580" w:type="dxa"/>
            <w:noWrap w:val="0"/>
            <w:vAlign w:val="center"/>
          </w:tcPr>
          <w:p w14:paraId="14135A82">
            <w:pPr>
              <w:adjustRightInd w:val="0"/>
              <w:snapToGrid w:val="0"/>
              <w:jc w:val="center"/>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不外排</w:t>
            </w:r>
          </w:p>
        </w:tc>
      </w:tr>
      <w:tr w14:paraId="0579C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11" w:type="dxa"/>
            <w:noWrap w:val="0"/>
            <w:vAlign w:val="center"/>
          </w:tcPr>
          <w:p w14:paraId="55EABD9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948" w:type="dxa"/>
            <w:noWrap w:val="0"/>
            <w:vAlign w:val="center"/>
          </w:tcPr>
          <w:p w14:paraId="37A2A0C4">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p>
        </w:tc>
        <w:tc>
          <w:tcPr>
            <w:tcW w:w="1626" w:type="dxa"/>
            <w:noWrap w:val="0"/>
            <w:vAlign w:val="center"/>
          </w:tcPr>
          <w:p w14:paraId="5F11ABF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dB（A）</w:t>
            </w:r>
          </w:p>
        </w:tc>
        <w:tc>
          <w:tcPr>
            <w:tcW w:w="2281" w:type="dxa"/>
            <w:noWrap w:val="0"/>
            <w:vAlign w:val="center"/>
          </w:tcPr>
          <w:p w14:paraId="265D18F6">
            <w:pPr>
              <w:adjustRightInd w:val="0"/>
              <w:snapToGrid w:val="0"/>
              <w:jc w:val="center"/>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隔音</w:t>
            </w:r>
            <w:r>
              <w:rPr>
                <w:rFonts w:hint="eastAsia" w:cs="Times New Roman"/>
                <w:color w:val="auto"/>
                <w:sz w:val="24"/>
                <w:szCs w:val="24"/>
                <w:lang w:eastAsia="zh-CN"/>
              </w:rPr>
              <w:t>减振</w:t>
            </w:r>
          </w:p>
        </w:tc>
        <w:tc>
          <w:tcPr>
            <w:tcW w:w="2580" w:type="dxa"/>
            <w:noWrap w:val="0"/>
            <w:vAlign w:val="center"/>
          </w:tcPr>
          <w:p w14:paraId="253E4E1C">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《工业企业厂界环境噪声排放标准》（GB12348-2008）中</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类标准</w:t>
            </w:r>
          </w:p>
        </w:tc>
      </w:tr>
      <w:tr w14:paraId="0CEA5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11" w:type="dxa"/>
            <w:noWrap w:val="0"/>
            <w:vAlign w:val="center"/>
          </w:tcPr>
          <w:p w14:paraId="73CE287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948" w:type="dxa"/>
            <w:noWrap w:val="0"/>
            <w:vAlign w:val="center"/>
          </w:tcPr>
          <w:p w14:paraId="6B88ED6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626" w:type="dxa"/>
            <w:noWrap w:val="0"/>
            <w:vAlign w:val="center"/>
          </w:tcPr>
          <w:p w14:paraId="6C27A417">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281" w:type="dxa"/>
            <w:noWrap w:val="0"/>
            <w:vAlign w:val="center"/>
          </w:tcPr>
          <w:p w14:paraId="7086BB58">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2580" w:type="dxa"/>
            <w:noWrap w:val="0"/>
            <w:vAlign w:val="center"/>
          </w:tcPr>
          <w:p w14:paraId="6045D55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14:paraId="59C90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211" w:type="dxa"/>
            <w:noWrap w:val="0"/>
            <w:vAlign w:val="center"/>
          </w:tcPr>
          <w:p w14:paraId="4040053F">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8435" w:type="dxa"/>
            <w:gridSpan w:val="4"/>
            <w:noWrap w:val="0"/>
            <w:vAlign w:val="center"/>
          </w:tcPr>
          <w:p w14:paraId="3C0CF76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生活垃圾交由环卫部门统一处理；</w:t>
            </w:r>
            <w:r>
              <w:rPr>
                <w:rFonts w:hint="default" w:ascii="Times New Roman" w:hAnsi="Times New Roman" w:eastAsia="宋体" w:cs="Times New Roman"/>
                <w:color w:val="auto"/>
                <w:sz w:val="24"/>
                <w:szCs w:val="24"/>
                <w:lang w:val="en-US" w:eastAsia="zh-CN"/>
              </w:rPr>
              <w:t>项目产生的边角料、玻璃渣、</w:t>
            </w:r>
            <w:r>
              <w:rPr>
                <w:rFonts w:hint="eastAsia" w:cs="Times New Roman"/>
                <w:color w:val="auto"/>
                <w:sz w:val="24"/>
                <w:szCs w:val="24"/>
                <w:lang w:val="en-US" w:eastAsia="zh-CN"/>
              </w:rPr>
              <w:t>滤渣</w:t>
            </w:r>
            <w:r>
              <w:rPr>
                <w:rFonts w:hint="default" w:ascii="Times New Roman" w:hAnsi="Times New Roman" w:eastAsia="宋体" w:cs="Times New Roman"/>
                <w:color w:val="auto"/>
                <w:sz w:val="24"/>
                <w:szCs w:val="24"/>
                <w:lang w:val="en-US" w:eastAsia="zh-CN"/>
              </w:rPr>
              <w:t>、铝条边角料等定期清理收集后暂存一般固废暂存间，外售综合利用；废胶桶、废活性炭、废</w:t>
            </w:r>
            <w:r>
              <w:rPr>
                <w:rFonts w:hint="eastAsia" w:cs="Times New Roman"/>
                <w:color w:val="auto"/>
                <w:sz w:val="24"/>
                <w:szCs w:val="24"/>
                <w:lang w:val="en-US" w:eastAsia="zh-CN"/>
              </w:rPr>
              <w:t>机油</w:t>
            </w:r>
            <w:r>
              <w:rPr>
                <w:rFonts w:hint="default" w:ascii="Times New Roman" w:hAnsi="Times New Roman" w:eastAsia="宋体" w:cs="Times New Roman"/>
                <w:color w:val="auto"/>
                <w:sz w:val="24"/>
                <w:szCs w:val="24"/>
                <w:lang w:val="en-US" w:eastAsia="zh-CN"/>
              </w:rPr>
              <w:t>等危险废物暂存危险固废暂存间，委托有资质单位处置</w:t>
            </w:r>
            <w:r>
              <w:rPr>
                <w:rFonts w:hint="default" w:ascii="Times New Roman" w:hAnsi="Times New Roman" w:eastAsia="宋体" w:cs="Times New Roman"/>
                <w:color w:val="auto"/>
                <w:sz w:val="24"/>
                <w:szCs w:val="24"/>
              </w:rPr>
              <w:t>。</w:t>
            </w:r>
          </w:p>
        </w:tc>
      </w:tr>
      <w:tr w14:paraId="6370D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211" w:type="dxa"/>
            <w:noWrap w:val="0"/>
            <w:vAlign w:val="center"/>
          </w:tcPr>
          <w:p w14:paraId="0CA0092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8435" w:type="dxa"/>
            <w:gridSpan w:val="4"/>
            <w:noWrap w:val="0"/>
            <w:vAlign w:val="center"/>
          </w:tcPr>
          <w:p w14:paraId="58C502A9">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本项目将</w:t>
            </w:r>
            <w:r>
              <w:rPr>
                <w:rFonts w:hint="eastAsia" w:cs="Times New Roman"/>
                <w:color w:val="auto"/>
                <w:sz w:val="24"/>
                <w:szCs w:val="24"/>
                <w:lang w:eastAsia="zh-CN"/>
              </w:rPr>
              <w:t>危废间、沉淀池</w:t>
            </w:r>
            <w:r>
              <w:rPr>
                <w:rFonts w:hint="default" w:ascii="Times New Roman" w:hAnsi="Times New Roman" w:eastAsia="宋体" w:cs="Times New Roman"/>
                <w:color w:val="auto"/>
                <w:sz w:val="24"/>
                <w:szCs w:val="24"/>
              </w:rPr>
              <w:t>等区域划分为重点防渗区，防渗性能不应低于</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m厚的黏土层的防渗性能，渗透系数≤1.0×10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cm/s；将</w:t>
            </w:r>
            <w:r>
              <w:rPr>
                <w:rFonts w:hint="eastAsia" w:cs="Times New Roman"/>
                <w:color w:val="auto"/>
                <w:sz w:val="24"/>
                <w:szCs w:val="24"/>
                <w:lang w:eastAsia="zh-CN"/>
              </w:rPr>
              <w:t>库房、生产车间</w:t>
            </w:r>
            <w:r>
              <w:rPr>
                <w:rFonts w:hint="default" w:ascii="Times New Roman" w:hAnsi="Times New Roman" w:eastAsia="宋体" w:cs="Times New Roman"/>
                <w:color w:val="auto"/>
                <w:sz w:val="24"/>
                <w:szCs w:val="24"/>
              </w:rPr>
              <w:t>等区域划分为一般防渗区，防渗性能不应低于1.5m厚的黏土层的防渗性能，渗透系数≤1.0×10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cm/s；厂区其他区域划分为简单防渗区，做一般地面硬化</w:t>
            </w:r>
          </w:p>
        </w:tc>
      </w:tr>
      <w:tr w14:paraId="39C2F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211" w:type="dxa"/>
            <w:noWrap w:val="0"/>
            <w:vAlign w:val="center"/>
          </w:tcPr>
          <w:p w14:paraId="7241EB55">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8435" w:type="dxa"/>
            <w:gridSpan w:val="4"/>
            <w:noWrap w:val="0"/>
            <w:vAlign w:val="center"/>
          </w:tcPr>
          <w:p w14:paraId="53244F49">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完善厂区内绿化建设</w:t>
            </w:r>
          </w:p>
        </w:tc>
      </w:tr>
      <w:tr w14:paraId="68AC8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211" w:type="dxa"/>
            <w:noWrap w:val="0"/>
            <w:vAlign w:val="center"/>
          </w:tcPr>
          <w:p w14:paraId="70CE5C62">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环境风险</w:t>
            </w:r>
          </w:p>
          <w:p w14:paraId="2F601F1E">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防范措施</w:t>
            </w:r>
          </w:p>
        </w:tc>
        <w:tc>
          <w:tcPr>
            <w:tcW w:w="8435" w:type="dxa"/>
            <w:gridSpan w:val="4"/>
            <w:noWrap w:val="0"/>
            <w:vAlign w:val="center"/>
          </w:tcPr>
          <w:p w14:paraId="03A4F011">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1、成立风险防范机构；2、合理布局厂区总平面布置；3、工艺和设备、装置方面安全防范措施；4、通风设备事故预防措施；5、火灾防治措施。</w:t>
            </w:r>
          </w:p>
        </w:tc>
      </w:tr>
      <w:tr w14:paraId="669CE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08" w:hRule="atLeast"/>
        </w:trPr>
        <w:tc>
          <w:tcPr>
            <w:tcW w:w="1211" w:type="dxa"/>
            <w:noWrap w:val="0"/>
            <w:vAlign w:val="center"/>
          </w:tcPr>
          <w:p w14:paraId="5C7D8B4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其他环境</w:t>
            </w:r>
          </w:p>
          <w:p w14:paraId="66E61D39">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管理要求</w:t>
            </w:r>
          </w:p>
        </w:tc>
        <w:tc>
          <w:tcPr>
            <w:tcW w:w="8435" w:type="dxa"/>
            <w:gridSpan w:val="4"/>
            <w:noWrap w:val="0"/>
            <w:vAlign w:val="center"/>
          </w:tcPr>
          <w:p w14:paraId="1863B7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1、环境管理制度建设</w:t>
            </w:r>
          </w:p>
          <w:p w14:paraId="0C0956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营运期间的环境管理主要任务是管理、维护各项环保措施，确保其正常运转和达标排放，充分发挥其作用，并做好环境监测工作，及时掌握各项环保设施的运行状况，环境影响动态，必要时采取适当的污染防治措施。环境管理职责：项目设置专门的环境管理人员，负责检查、督促各项具体工作的落实情况，协调各部门的环境管理工作。</w:t>
            </w:r>
          </w:p>
          <w:p w14:paraId="326E92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①认真贯彻执行国家和芜湖市的有关环境保护法律法规和标准，协助协调项目建设、运行活动与环境保护活动。</w:t>
            </w:r>
          </w:p>
          <w:p w14:paraId="0DBD4C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②建立项目的污染源档案及相关台账，并负责编制环境监测和环境质量报告。</w:t>
            </w:r>
          </w:p>
          <w:p w14:paraId="22F795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③监督环保公用设施的运行、维修，以确保其正常稳定运行；负责污染物排放口的规范管理；处理解决环境事故。</w:t>
            </w:r>
          </w:p>
          <w:p w14:paraId="5F52CD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④负责有关环境事务方面的对外联络，取得资料；并负责对公众的联络、解释、答复和协调有关涉及公众利益的活动及相应措施等。</w:t>
            </w:r>
          </w:p>
          <w:p w14:paraId="114200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Times New Roman" w:hAnsi="Times New Roman" w:cs="Times New Roman"/>
                <w:b/>
                <w:color w:val="auto"/>
                <w:sz w:val="24"/>
              </w:rPr>
            </w:pPr>
            <w:r>
              <w:rPr>
                <w:rFonts w:hint="eastAsia" w:cs="Times New Roman"/>
                <w:b w:val="0"/>
                <w:bCs/>
                <w:color w:val="auto"/>
                <w:sz w:val="24"/>
                <w:lang w:val="en-US" w:eastAsia="zh-CN"/>
              </w:rPr>
              <w:t>2、</w:t>
            </w:r>
            <w:r>
              <w:rPr>
                <w:rFonts w:hint="default" w:ascii="Times New Roman" w:hAnsi="Times New Roman" w:cs="Times New Roman"/>
                <w:b w:val="0"/>
                <w:bCs/>
                <w:color w:val="auto"/>
                <w:sz w:val="24"/>
              </w:rPr>
              <w:t>排污口规范化要求</w:t>
            </w:r>
          </w:p>
          <w:p w14:paraId="3160EF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国家标准《环境保护图形标志-排放口(源)》和国家环保总局《排污口规范化整治要求》(试行)的技术要求，企业所有排放口(包括水、气、声、渣)必须按照“便于采样、便于计量检测、便于日常现场监督检查”的原则和规范化要求，设置与之相适应的环境保护图形标志牌，绘制企业排污口分布图，同时对污水排放口安装流量计，排污口规范化要符合有关要求。</w:t>
            </w:r>
          </w:p>
          <w:p w14:paraId="32442A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（1）废水排放口</w:t>
            </w:r>
          </w:p>
          <w:p w14:paraId="37E736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eastAsia" w:cs="Times New Roman"/>
                <w:color w:val="auto"/>
                <w:kern w:val="0"/>
                <w:sz w:val="24"/>
                <w:szCs w:val="24"/>
                <w:lang w:val="en-US" w:eastAsia="zh-CN"/>
              </w:rPr>
              <w:t>根据工程分析，打磨废水、清洗废水经厂区废水处理设施处理后循环使用，不外排。</w:t>
            </w:r>
            <w:r>
              <w:rPr>
                <w:rFonts w:hint="default" w:ascii="Times New Roman" w:hAnsi="Times New Roman" w:eastAsia="宋体" w:cs="Times New Roman"/>
                <w:b w:val="0"/>
                <w:bCs w:val="0"/>
                <w:color w:val="auto"/>
                <w:sz w:val="24"/>
                <w:szCs w:val="24"/>
                <w:vertAlign w:val="baseline"/>
                <w:lang w:val="en-US" w:eastAsia="zh-CN"/>
              </w:rPr>
              <w:t>生活污水经</w:t>
            </w:r>
            <w:r>
              <w:rPr>
                <w:rFonts w:hint="eastAsia" w:cs="Times New Roman"/>
                <w:b w:val="0"/>
                <w:bCs w:val="0"/>
                <w:color w:val="auto"/>
                <w:sz w:val="24"/>
                <w:szCs w:val="24"/>
                <w:vertAlign w:val="baseline"/>
                <w:lang w:val="en-US" w:eastAsia="zh-CN"/>
              </w:rPr>
              <w:t>厂区现有化粪池</w:t>
            </w:r>
            <w:r>
              <w:rPr>
                <w:rFonts w:hint="default" w:ascii="Times New Roman" w:hAnsi="Times New Roman" w:eastAsia="宋体" w:cs="Times New Roman"/>
                <w:b w:val="0"/>
                <w:bCs w:val="0"/>
                <w:color w:val="auto"/>
                <w:sz w:val="24"/>
                <w:szCs w:val="24"/>
                <w:vertAlign w:val="baseline"/>
                <w:lang w:val="en-US" w:eastAsia="zh-CN"/>
              </w:rPr>
              <w:t>预处理后</w:t>
            </w:r>
            <w:r>
              <w:rPr>
                <w:rFonts w:hint="eastAsia" w:cs="Times New Roman"/>
                <w:b w:val="0"/>
                <w:bCs w:val="0"/>
                <w:color w:val="auto"/>
                <w:sz w:val="24"/>
                <w:szCs w:val="24"/>
                <w:vertAlign w:val="baseline"/>
                <w:lang w:val="en-US" w:eastAsia="zh-CN"/>
              </w:rPr>
              <w:t>由市政污水管网</w:t>
            </w:r>
            <w:r>
              <w:rPr>
                <w:rFonts w:hint="default" w:ascii="Times New Roman" w:hAnsi="Times New Roman" w:eastAsia="宋体" w:cs="Times New Roman"/>
                <w:b w:val="0"/>
                <w:bCs w:val="0"/>
                <w:color w:val="auto"/>
                <w:sz w:val="24"/>
                <w:szCs w:val="24"/>
                <w:vertAlign w:val="baseline"/>
                <w:lang w:val="en-US" w:eastAsia="zh-CN"/>
              </w:rPr>
              <w:t>排入</w:t>
            </w:r>
            <w:r>
              <w:rPr>
                <w:rFonts w:hint="eastAsia" w:cs="Times New Roman"/>
                <w:b w:val="0"/>
                <w:bCs w:val="0"/>
                <w:color w:val="auto"/>
                <w:sz w:val="24"/>
                <w:szCs w:val="24"/>
                <w:vertAlign w:val="baseline"/>
                <w:lang w:val="en-US" w:eastAsia="zh-CN"/>
              </w:rPr>
              <w:t>调兵山城市</w:t>
            </w:r>
            <w:r>
              <w:rPr>
                <w:rFonts w:hint="default" w:ascii="Times New Roman" w:hAnsi="Times New Roman" w:eastAsia="宋体" w:cs="Times New Roman"/>
                <w:b w:val="0"/>
                <w:bCs w:val="0"/>
                <w:color w:val="auto"/>
                <w:sz w:val="24"/>
                <w:szCs w:val="24"/>
                <w:vertAlign w:val="baseline"/>
                <w:lang w:val="en-US" w:eastAsia="zh-CN"/>
              </w:rPr>
              <w:t>污水处理厂</w:t>
            </w:r>
            <w:r>
              <w:rPr>
                <w:rFonts w:hint="eastAsia" w:cs="Times New Roman"/>
                <w:b w:val="0"/>
                <w:bCs w:val="0"/>
                <w:color w:val="auto"/>
                <w:sz w:val="24"/>
                <w:szCs w:val="24"/>
                <w:vertAlign w:val="baseline"/>
                <w:lang w:val="en-US" w:eastAsia="zh-CN"/>
              </w:rPr>
              <w:t>处理达标排放</w:t>
            </w:r>
            <w:r>
              <w:rPr>
                <w:rFonts w:hint="default" w:ascii="Times New Roman" w:hAnsi="Times New Roman" w:cs="Times New Roman"/>
                <w:color w:val="auto"/>
                <w:sz w:val="24"/>
              </w:rPr>
              <w:t>。</w:t>
            </w:r>
          </w:p>
          <w:p w14:paraId="0226F9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（2）废气排放口</w:t>
            </w:r>
          </w:p>
          <w:p w14:paraId="6A07D9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bCs/>
                <w:color w:val="auto"/>
                <w:sz w:val="24"/>
              </w:rPr>
            </w:pPr>
            <w:r>
              <w:rPr>
                <w:rFonts w:ascii="Times New Roman" w:hAnsi="Times New Roman"/>
                <w:bCs/>
                <w:color w:val="auto"/>
                <w:sz w:val="24"/>
              </w:rPr>
              <w:t>有组织排放废气的排气筒（烟囱）高度应符合国家和省大气污染物排放标准的有关规定，应加装引风装置进行收集、处理，并设置采样点。排气筒（烟囱）应设置便于采样、监测的采样口和采样监测平台。净化设施应在其进出口分别设置采样口。</w:t>
            </w:r>
          </w:p>
          <w:p w14:paraId="74417F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eastAsia" w:cs="Times New Roman"/>
                <w:color w:val="auto"/>
                <w:sz w:val="24"/>
                <w:lang w:val="en-US" w:eastAsia="zh-CN"/>
              </w:rPr>
              <w:t>3</w:t>
            </w:r>
            <w:r>
              <w:rPr>
                <w:rFonts w:hint="default" w:ascii="Times New Roman" w:hAnsi="Times New Roman" w:cs="Times New Roman"/>
                <w:color w:val="auto"/>
                <w:sz w:val="24"/>
              </w:rPr>
              <w:t>）固废堆放规范化整治</w:t>
            </w:r>
          </w:p>
          <w:p w14:paraId="70897F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固废堆场应设置环境保护图形标志牌，将生活垃圾、工业固废等分开堆放，做到防火、防扬散、防渗漏，确保不对周围环境形成二次污染。标志牌应设在与之功能相应的醒目处，标志牌必须保护持清晰、完整。当发现形象损坏、颜色污染或有变化、退色等不符合本标准的情况，应及时修复或更换。检查时间至少每半年一次。</w:t>
            </w:r>
          </w:p>
          <w:p w14:paraId="11E3CF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厂区“三废”及噪声排放点应设置明显标志，标志的设置应执行《环境保护图形标志排放口（源）》（GBl5562.1-1995）的有关规定。排污口规范化整治应符合国家、省、市有关规定，并通过主管</w:t>
            </w:r>
            <w:r>
              <w:rPr>
                <w:rFonts w:hint="eastAsia" w:cs="Times New Roman"/>
                <w:color w:val="auto"/>
                <w:sz w:val="24"/>
                <w:lang w:eastAsia="zh-CN"/>
              </w:rPr>
              <w:t>生态环境</w:t>
            </w:r>
            <w:r>
              <w:rPr>
                <w:rFonts w:hint="default" w:ascii="Times New Roman" w:hAnsi="Times New Roman" w:cs="Times New Roman"/>
                <w:color w:val="auto"/>
                <w:sz w:val="24"/>
              </w:rPr>
              <w:t>部门认证和验收。排放口图形标志见下表：</w:t>
            </w:r>
          </w:p>
          <w:p w14:paraId="28EF8390">
            <w:pPr>
              <w:pStyle w:val="28"/>
              <w:pageBreakBefore w:val="0"/>
              <w:widowControl w:val="0"/>
              <w:numPr>
                <w:ilvl w:val="1"/>
                <w:numId w:val="0"/>
              </w:numPr>
              <w:kinsoku/>
              <w:wordWrap/>
              <w:overflowPunct/>
              <w:topLinePunct w:val="0"/>
              <w:autoSpaceDE/>
              <w:autoSpaceDN/>
              <w:bidi w:val="0"/>
              <w:adjustRightInd w:val="0"/>
              <w:snapToGrid w:val="0"/>
              <w:spacing w:before="0" w:beforeLines="0" w:after="0" w:afterLine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5-1</w:t>
            </w:r>
            <w:r>
              <w:rPr>
                <w:rFonts w:hint="default" w:ascii="Times New Roman" w:hAnsi="Times New Roman" w:cs="Times New Roman"/>
                <w:b/>
                <w:bCs/>
                <w:color w:val="auto"/>
                <w:sz w:val="21"/>
                <w:szCs w:val="21"/>
              </w:rPr>
              <w:t xml:space="preserve">   环境保护图形标志的形状及颜色表</w:t>
            </w:r>
          </w:p>
          <w:tbl>
            <w:tblPr>
              <w:tblStyle w:val="1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055"/>
              <w:gridCol w:w="2055"/>
              <w:gridCol w:w="2055"/>
            </w:tblGrid>
            <w:tr w14:paraId="0D048D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250" w:type="pct"/>
                  <w:tcBorders>
                    <w:tl2br w:val="nil"/>
                    <w:tr2bl w:val="nil"/>
                  </w:tcBorders>
                  <w:noWrap w:val="0"/>
                  <w:vAlign w:val="center"/>
                </w:tcPr>
                <w:p w14:paraId="175AA6D7">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标志名称</w:t>
                  </w:r>
                </w:p>
              </w:tc>
              <w:tc>
                <w:tcPr>
                  <w:tcW w:w="1250" w:type="pct"/>
                  <w:tcBorders>
                    <w:tl2br w:val="nil"/>
                    <w:tr2bl w:val="nil"/>
                  </w:tcBorders>
                  <w:noWrap w:val="0"/>
                  <w:vAlign w:val="center"/>
                </w:tcPr>
                <w:p w14:paraId="32A01E74">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形状</w:t>
                  </w:r>
                </w:p>
              </w:tc>
              <w:tc>
                <w:tcPr>
                  <w:tcW w:w="1250" w:type="pct"/>
                  <w:tcBorders>
                    <w:tl2br w:val="nil"/>
                    <w:tr2bl w:val="nil"/>
                  </w:tcBorders>
                  <w:noWrap w:val="0"/>
                  <w:vAlign w:val="center"/>
                </w:tcPr>
                <w:p w14:paraId="0E664D37">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背景颜色</w:t>
                  </w:r>
                </w:p>
              </w:tc>
              <w:tc>
                <w:tcPr>
                  <w:tcW w:w="1250" w:type="pct"/>
                  <w:tcBorders>
                    <w:tl2br w:val="nil"/>
                    <w:tr2bl w:val="nil"/>
                  </w:tcBorders>
                  <w:noWrap w:val="0"/>
                  <w:vAlign w:val="center"/>
                </w:tcPr>
                <w:p w14:paraId="2D2F4678">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图形颜色</w:t>
                  </w:r>
                </w:p>
              </w:tc>
            </w:tr>
            <w:tr w14:paraId="4B6E16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50" w:type="pct"/>
                  <w:tcBorders>
                    <w:tl2br w:val="nil"/>
                    <w:tr2bl w:val="nil"/>
                  </w:tcBorders>
                  <w:noWrap w:val="0"/>
                  <w:vAlign w:val="center"/>
                </w:tcPr>
                <w:p w14:paraId="2F4F3251">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警告标志</w:t>
                  </w:r>
                </w:p>
              </w:tc>
              <w:tc>
                <w:tcPr>
                  <w:tcW w:w="1250" w:type="pct"/>
                  <w:tcBorders>
                    <w:tl2br w:val="nil"/>
                    <w:tr2bl w:val="nil"/>
                  </w:tcBorders>
                  <w:noWrap w:val="0"/>
                  <w:vAlign w:val="center"/>
                </w:tcPr>
                <w:p w14:paraId="6A04BED4">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三角形边框</w:t>
                  </w:r>
                </w:p>
              </w:tc>
              <w:tc>
                <w:tcPr>
                  <w:tcW w:w="1250" w:type="pct"/>
                  <w:tcBorders>
                    <w:tl2br w:val="nil"/>
                    <w:tr2bl w:val="nil"/>
                  </w:tcBorders>
                  <w:noWrap w:val="0"/>
                  <w:vAlign w:val="center"/>
                </w:tcPr>
                <w:p w14:paraId="770F71EF">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黄色</w:t>
                  </w:r>
                </w:p>
              </w:tc>
              <w:tc>
                <w:tcPr>
                  <w:tcW w:w="1250" w:type="pct"/>
                  <w:tcBorders>
                    <w:tl2br w:val="nil"/>
                    <w:tr2bl w:val="nil"/>
                  </w:tcBorders>
                  <w:noWrap w:val="0"/>
                  <w:vAlign w:val="center"/>
                </w:tcPr>
                <w:p w14:paraId="5F74C48D">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黑色</w:t>
                  </w:r>
                </w:p>
              </w:tc>
            </w:tr>
            <w:tr w14:paraId="61F185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50" w:type="pct"/>
                  <w:tcBorders>
                    <w:tl2br w:val="nil"/>
                    <w:tr2bl w:val="nil"/>
                  </w:tcBorders>
                  <w:noWrap w:val="0"/>
                  <w:vAlign w:val="center"/>
                </w:tcPr>
                <w:p w14:paraId="083646B4">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提示标志</w:t>
                  </w:r>
                </w:p>
              </w:tc>
              <w:tc>
                <w:tcPr>
                  <w:tcW w:w="1250" w:type="pct"/>
                  <w:tcBorders>
                    <w:tl2br w:val="nil"/>
                    <w:tr2bl w:val="nil"/>
                  </w:tcBorders>
                  <w:noWrap w:val="0"/>
                  <w:vAlign w:val="center"/>
                </w:tcPr>
                <w:p w14:paraId="528DD879">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正方形边框</w:t>
                  </w:r>
                </w:p>
              </w:tc>
              <w:tc>
                <w:tcPr>
                  <w:tcW w:w="1250" w:type="pct"/>
                  <w:tcBorders>
                    <w:tl2br w:val="nil"/>
                    <w:tr2bl w:val="nil"/>
                  </w:tcBorders>
                  <w:noWrap w:val="0"/>
                  <w:vAlign w:val="center"/>
                </w:tcPr>
                <w:p w14:paraId="6E9B3C2F">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绿色</w:t>
                  </w:r>
                </w:p>
              </w:tc>
              <w:tc>
                <w:tcPr>
                  <w:tcW w:w="1250" w:type="pct"/>
                  <w:tcBorders>
                    <w:tl2br w:val="nil"/>
                    <w:tr2bl w:val="nil"/>
                  </w:tcBorders>
                  <w:noWrap w:val="0"/>
                  <w:vAlign w:val="center"/>
                </w:tcPr>
                <w:p w14:paraId="52CE7D11">
                  <w:pPr>
                    <w:pStyle w:val="49"/>
                    <w:keepNext w:val="0"/>
                    <w:keepLines w:val="0"/>
                    <w:pageBreakBefore w:val="0"/>
                    <w:widowControl/>
                    <w:kinsoku/>
                    <w:wordWrap/>
                    <w:overflowPunct/>
                    <w:topLinePunct w:val="0"/>
                    <w:autoSpaceDE/>
                    <w:autoSpaceDN/>
                    <w:bidi w:val="0"/>
                    <w:adjustRightInd w:val="0"/>
                    <w:snapToGrid w:val="0"/>
                    <w:spacing w:line="240" w:lineRule="exact"/>
                    <w:ind w:right="113"/>
                    <w:textAlignment w:val="auto"/>
                    <w:rPr>
                      <w:rFonts w:ascii="Times New Roman" w:hAnsi="Times New Roman" w:eastAsia="宋体"/>
                      <w:color w:val="auto"/>
                      <w:sz w:val="21"/>
                      <w:szCs w:val="21"/>
                    </w:rPr>
                  </w:pPr>
                  <w:r>
                    <w:rPr>
                      <w:rFonts w:ascii="Times New Roman" w:hAnsi="Times New Roman" w:eastAsia="宋体"/>
                      <w:color w:val="auto"/>
                      <w:sz w:val="21"/>
                      <w:szCs w:val="21"/>
                    </w:rPr>
                    <w:t>白色</w:t>
                  </w:r>
                </w:p>
              </w:tc>
            </w:tr>
          </w:tbl>
          <w:p w14:paraId="0F45427B">
            <w:pPr>
              <w:pageBreakBefore w:val="0"/>
              <w:widowControl w:val="0"/>
              <w:kinsoku/>
              <w:wordWrap/>
              <w:overflowPunct/>
              <w:topLinePunct w:val="0"/>
              <w:autoSpaceDE/>
              <w:autoSpaceDN/>
              <w:bidi w:val="0"/>
              <w:adjustRightInd w:val="0"/>
              <w:snapToGrid w:val="0"/>
              <w:spacing w:line="48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5-2</w:t>
            </w:r>
            <w:r>
              <w:rPr>
                <w:rFonts w:hint="default" w:ascii="Times New Roman" w:hAnsi="Times New Roman" w:cs="Times New Roman"/>
                <w:b/>
                <w:color w:val="auto"/>
                <w:sz w:val="21"/>
                <w:szCs w:val="21"/>
              </w:rPr>
              <w:t xml:space="preserve">   环境保护图形符号一览</w:t>
            </w:r>
          </w:p>
          <w:tbl>
            <w:tblPr>
              <w:tblStyle w:val="1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78"/>
              <w:gridCol w:w="2079"/>
              <w:gridCol w:w="1381"/>
              <w:gridCol w:w="2115"/>
            </w:tblGrid>
            <w:tr w14:paraId="62740B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00" w:hRule="atLeast"/>
                <w:jc w:val="center"/>
              </w:trPr>
              <w:tc>
                <w:tcPr>
                  <w:tcW w:w="405" w:type="pct"/>
                  <w:tcBorders>
                    <w:tl2br w:val="nil"/>
                    <w:tr2bl w:val="nil"/>
                  </w:tcBorders>
                  <w:noWrap w:val="0"/>
                  <w:vAlign w:val="center"/>
                </w:tcPr>
                <w:p w14:paraId="2E829385">
                  <w:pPr>
                    <w:pStyle w:val="49"/>
                    <w:rPr>
                      <w:rFonts w:ascii="Times New Roman" w:hAnsi="Times New Roman" w:eastAsia="宋体"/>
                      <w:b/>
                      <w:color w:val="auto"/>
                      <w:sz w:val="21"/>
                      <w:szCs w:val="21"/>
                    </w:rPr>
                  </w:pPr>
                  <w:r>
                    <w:rPr>
                      <w:rFonts w:ascii="Times New Roman" w:hAnsi="Times New Roman" w:eastAsia="宋体"/>
                      <w:b/>
                      <w:color w:val="auto"/>
                      <w:sz w:val="21"/>
                      <w:szCs w:val="21"/>
                    </w:rPr>
                    <w:t>序号</w:t>
                  </w:r>
                </w:p>
              </w:tc>
              <w:tc>
                <w:tcPr>
                  <w:tcW w:w="1203" w:type="pct"/>
                  <w:tcBorders>
                    <w:tl2br w:val="nil"/>
                    <w:tr2bl w:val="nil"/>
                  </w:tcBorders>
                  <w:noWrap w:val="0"/>
                  <w:vAlign w:val="center"/>
                </w:tcPr>
                <w:p w14:paraId="5C9F3643">
                  <w:pPr>
                    <w:pStyle w:val="49"/>
                    <w:rPr>
                      <w:rFonts w:ascii="Times New Roman" w:hAnsi="Times New Roman" w:eastAsia="宋体"/>
                      <w:b/>
                      <w:color w:val="auto"/>
                      <w:sz w:val="21"/>
                      <w:szCs w:val="21"/>
                    </w:rPr>
                  </w:pPr>
                  <w:r>
                    <w:rPr>
                      <w:rFonts w:ascii="Times New Roman" w:hAnsi="Times New Roman" w:eastAsia="宋体"/>
                      <w:b/>
                      <w:color w:val="auto"/>
                      <w:sz w:val="21"/>
                      <w:szCs w:val="21"/>
                    </w:rPr>
                    <w:t>提示图形符号</w:t>
                  </w:r>
                </w:p>
              </w:tc>
              <w:tc>
                <w:tcPr>
                  <w:tcW w:w="1264" w:type="pct"/>
                  <w:tcBorders>
                    <w:tl2br w:val="nil"/>
                    <w:tr2bl w:val="nil"/>
                  </w:tcBorders>
                  <w:noWrap w:val="0"/>
                  <w:vAlign w:val="center"/>
                </w:tcPr>
                <w:p w14:paraId="336812B3">
                  <w:pPr>
                    <w:pStyle w:val="49"/>
                    <w:rPr>
                      <w:rFonts w:ascii="Times New Roman" w:hAnsi="Times New Roman" w:eastAsia="宋体"/>
                      <w:b/>
                      <w:color w:val="auto"/>
                      <w:sz w:val="21"/>
                      <w:szCs w:val="21"/>
                    </w:rPr>
                  </w:pPr>
                  <w:r>
                    <w:rPr>
                      <w:rFonts w:ascii="Times New Roman" w:hAnsi="Times New Roman" w:eastAsia="宋体"/>
                      <w:b/>
                      <w:color w:val="auto"/>
                      <w:sz w:val="21"/>
                      <w:szCs w:val="21"/>
                    </w:rPr>
                    <w:t>警告图形符号</w:t>
                  </w:r>
                </w:p>
              </w:tc>
              <w:tc>
                <w:tcPr>
                  <w:tcW w:w="839" w:type="pct"/>
                  <w:tcBorders>
                    <w:tl2br w:val="nil"/>
                    <w:tr2bl w:val="nil"/>
                  </w:tcBorders>
                  <w:noWrap w:val="0"/>
                  <w:vAlign w:val="center"/>
                </w:tcPr>
                <w:p w14:paraId="18276ADB">
                  <w:pPr>
                    <w:pStyle w:val="49"/>
                    <w:rPr>
                      <w:rFonts w:ascii="Times New Roman" w:hAnsi="Times New Roman" w:eastAsia="宋体"/>
                      <w:b/>
                      <w:color w:val="auto"/>
                      <w:sz w:val="21"/>
                      <w:szCs w:val="21"/>
                    </w:rPr>
                  </w:pPr>
                  <w:r>
                    <w:rPr>
                      <w:rFonts w:ascii="Times New Roman" w:hAnsi="Times New Roman" w:eastAsia="宋体"/>
                      <w:b/>
                      <w:color w:val="auto"/>
                      <w:sz w:val="21"/>
                      <w:szCs w:val="21"/>
                    </w:rPr>
                    <w:t>名 称</w:t>
                  </w:r>
                </w:p>
              </w:tc>
              <w:tc>
                <w:tcPr>
                  <w:tcW w:w="1286" w:type="pct"/>
                  <w:tcBorders>
                    <w:tl2br w:val="nil"/>
                    <w:tr2bl w:val="nil"/>
                  </w:tcBorders>
                  <w:noWrap w:val="0"/>
                  <w:vAlign w:val="center"/>
                </w:tcPr>
                <w:p w14:paraId="1BBA3CC6">
                  <w:pPr>
                    <w:pStyle w:val="49"/>
                    <w:rPr>
                      <w:rFonts w:ascii="Times New Roman" w:hAnsi="Times New Roman" w:eastAsia="宋体"/>
                      <w:b/>
                      <w:color w:val="auto"/>
                      <w:sz w:val="21"/>
                      <w:szCs w:val="21"/>
                    </w:rPr>
                  </w:pPr>
                  <w:r>
                    <w:rPr>
                      <w:rFonts w:ascii="Times New Roman" w:hAnsi="Times New Roman" w:eastAsia="宋体"/>
                      <w:b/>
                      <w:color w:val="auto"/>
                      <w:sz w:val="21"/>
                      <w:szCs w:val="21"/>
                    </w:rPr>
                    <w:t>功 能</w:t>
                  </w:r>
                </w:p>
              </w:tc>
            </w:tr>
            <w:tr w14:paraId="0E9448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5" w:type="pct"/>
                  <w:tcBorders>
                    <w:tl2br w:val="nil"/>
                    <w:tr2bl w:val="nil"/>
                  </w:tcBorders>
                  <w:noWrap w:val="0"/>
                  <w:vAlign w:val="center"/>
                </w:tcPr>
                <w:p w14:paraId="05DACC9C">
                  <w:pPr>
                    <w:pStyle w:val="49"/>
                    <w:rPr>
                      <w:rFonts w:ascii="Times New Roman" w:hAnsi="Times New Roman" w:eastAsia="宋体"/>
                      <w:color w:val="auto"/>
                      <w:sz w:val="21"/>
                      <w:szCs w:val="21"/>
                    </w:rPr>
                  </w:pPr>
                  <w:r>
                    <w:rPr>
                      <w:rFonts w:ascii="Times New Roman" w:hAnsi="Times New Roman" w:eastAsia="宋体"/>
                      <w:color w:val="auto"/>
                      <w:sz w:val="21"/>
                      <w:szCs w:val="21"/>
                    </w:rPr>
                    <w:t>1</w:t>
                  </w:r>
                </w:p>
              </w:tc>
              <w:tc>
                <w:tcPr>
                  <w:tcW w:w="1203" w:type="pct"/>
                  <w:tcBorders>
                    <w:tl2br w:val="nil"/>
                    <w:tr2bl w:val="nil"/>
                  </w:tcBorders>
                  <w:noWrap w:val="0"/>
                  <w:vAlign w:val="center"/>
                </w:tcPr>
                <w:p w14:paraId="494422C1">
                  <w:pPr>
                    <w:pStyle w:val="49"/>
                    <w:rPr>
                      <w:rFonts w:ascii="Times New Roman" w:hAnsi="Times New Roman" w:eastAsia="宋体"/>
                      <w:color w:val="auto"/>
                      <w:sz w:val="21"/>
                      <w:szCs w:val="21"/>
                    </w:rPr>
                  </w:pP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"http://www.jjj999.com/anquanbiaozhi/images/13003.gif"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drawing>
                      <wp:inline distT="0" distB="0" distL="114300" distR="114300">
                        <wp:extent cx="853440" cy="853440"/>
                        <wp:effectExtent l="0" t="0" r="3810" b="3810"/>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2"/>
                                <pic:cNvPicPr>
                                  <a:picLocks noChangeAspect="1"/>
                                </pic:cNvPicPr>
                              </pic:nvPicPr>
                              <pic:blipFill>
                                <a:blip r:embed="rId25"/>
                                <a:stretch>
                                  <a:fillRect/>
                                </a:stretch>
                              </pic:blipFill>
                              <pic:spPr>
                                <a:xfrm>
                                  <a:off x="0" y="0"/>
                                  <a:ext cx="853440" cy="853440"/>
                                </a:xfrm>
                                <a:prstGeom prst="rect">
                                  <a:avLst/>
                                </a:prstGeom>
                                <a:noFill/>
                                <a:ln>
                                  <a:noFill/>
                                </a:ln>
                              </pic:spPr>
                            </pic:pic>
                          </a:graphicData>
                        </a:graphic>
                      </wp:inline>
                    </w:drawing>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p>
              </w:tc>
              <w:tc>
                <w:tcPr>
                  <w:tcW w:w="1264" w:type="pct"/>
                  <w:tcBorders>
                    <w:tl2br w:val="nil"/>
                    <w:tr2bl w:val="nil"/>
                  </w:tcBorders>
                  <w:noWrap w:val="0"/>
                  <w:vAlign w:val="center"/>
                </w:tcPr>
                <w:p w14:paraId="79FED0C3">
                  <w:pPr>
                    <w:pStyle w:val="49"/>
                    <w:rPr>
                      <w:rFonts w:ascii="Times New Roman" w:hAnsi="Times New Roman" w:eastAsia="宋体"/>
                      <w:color w:val="auto"/>
                      <w:sz w:val="21"/>
                      <w:szCs w:val="21"/>
                    </w:rPr>
                  </w:pP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"http://dqmhj.china-fire.com/image/aqbz/tb11/4.gif"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drawing>
                      <wp:inline distT="0" distB="0" distL="114300" distR="114300">
                        <wp:extent cx="952500" cy="845820"/>
                        <wp:effectExtent l="0" t="0" r="0" b="11430"/>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pic:cNvPicPr>
                                  <a:picLocks noChangeAspect="1"/>
                                </pic:cNvPicPr>
                              </pic:nvPicPr>
                              <pic:blipFill>
                                <a:blip r:embed="rId26"/>
                                <a:stretch>
                                  <a:fillRect/>
                                </a:stretch>
                              </pic:blipFill>
                              <pic:spPr>
                                <a:xfrm>
                                  <a:off x="0" y="0"/>
                                  <a:ext cx="952500" cy="845820"/>
                                </a:xfrm>
                                <a:prstGeom prst="rect">
                                  <a:avLst/>
                                </a:prstGeom>
                                <a:noFill/>
                                <a:ln>
                                  <a:noFill/>
                                </a:ln>
                              </pic:spPr>
                            </pic:pic>
                          </a:graphicData>
                        </a:graphic>
                      </wp:inline>
                    </w:drawing>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p>
              </w:tc>
              <w:tc>
                <w:tcPr>
                  <w:tcW w:w="839" w:type="pct"/>
                  <w:tcBorders>
                    <w:tl2br w:val="nil"/>
                    <w:tr2bl w:val="nil"/>
                  </w:tcBorders>
                  <w:noWrap w:val="0"/>
                  <w:vAlign w:val="center"/>
                </w:tcPr>
                <w:p w14:paraId="1AB17EDB">
                  <w:pPr>
                    <w:pStyle w:val="49"/>
                    <w:rPr>
                      <w:rFonts w:ascii="Times New Roman" w:hAnsi="Times New Roman" w:eastAsia="宋体"/>
                      <w:color w:val="auto"/>
                      <w:sz w:val="21"/>
                      <w:szCs w:val="21"/>
                    </w:rPr>
                  </w:pPr>
                  <w:r>
                    <w:rPr>
                      <w:rFonts w:ascii="Times New Roman" w:hAnsi="Times New Roman" w:eastAsia="宋体"/>
                      <w:color w:val="auto"/>
                      <w:sz w:val="21"/>
                      <w:szCs w:val="21"/>
                    </w:rPr>
                    <w:t>废气排放口</w:t>
                  </w:r>
                </w:p>
              </w:tc>
              <w:tc>
                <w:tcPr>
                  <w:tcW w:w="1286" w:type="pct"/>
                  <w:tcBorders>
                    <w:tl2br w:val="nil"/>
                    <w:tr2bl w:val="nil"/>
                  </w:tcBorders>
                  <w:noWrap w:val="0"/>
                  <w:vAlign w:val="center"/>
                </w:tcPr>
                <w:p w14:paraId="3430AA40">
                  <w:pPr>
                    <w:pStyle w:val="49"/>
                    <w:rPr>
                      <w:rFonts w:ascii="Times New Roman" w:hAnsi="Times New Roman" w:eastAsia="宋体"/>
                      <w:color w:val="auto"/>
                      <w:sz w:val="21"/>
                      <w:szCs w:val="21"/>
                    </w:rPr>
                  </w:pPr>
                  <w:r>
                    <w:rPr>
                      <w:rFonts w:ascii="Times New Roman" w:hAnsi="Times New Roman" w:eastAsia="宋体"/>
                      <w:color w:val="auto"/>
                      <w:sz w:val="21"/>
                      <w:szCs w:val="21"/>
                    </w:rPr>
                    <w:t>表示废气向大气环境排放</w:t>
                  </w:r>
                </w:p>
              </w:tc>
            </w:tr>
            <w:tr w14:paraId="1EE384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5" w:type="pct"/>
                  <w:tcBorders>
                    <w:tl2br w:val="nil"/>
                    <w:tr2bl w:val="nil"/>
                  </w:tcBorders>
                  <w:noWrap w:val="0"/>
                  <w:vAlign w:val="center"/>
                </w:tcPr>
                <w:p w14:paraId="74B1D0AD">
                  <w:pPr>
                    <w:pStyle w:val="49"/>
                    <w:rPr>
                      <w:rFonts w:ascii="Times New Roman" w:hAnsi="Times New Roman" w:eastAsia="宋体"/>
                      <w:color w:val="auto"/>
                      <w:sz w:val="21"/>
                      <w:szCs w:val="21"/>
                    </w:rPr>
                  </w:pPr>
                  <w:r>
                    <w:rPr>
                      <w:rFonts w:ascii="Times New Roman" w:hAnsi="Times New Roman" w:eastAsia="宋体"/>
                      <w:color w:val="auto"/>
                      <w:sz w:val="21"/>
                      <w:szCs w:val="21"/>
                    </w:rPr>
                    <w:t>2</w:t>
                  </w:r>
                </w:p>
              </w:tc>
              <w:tc>
                <w:tcPr>
                  <w:tcW w:w="1203" w:type="pct"/>
                  <w:tcBorders>
                    <w:tl2br w:val="nil"/>
                    <w:tr2bl w:val="nil"/>
                  </w:tcBorders>
                  <w:noWrap w:val="0"/>
                  <w:vAlign w:val="center"/>
                </w:tcPr>
                <w:p w14:paraId="6BD28EA7">
                  <w:pPr>
                    <w:pStyle w:val="49"/>
                    <w:rPr>
                      <w:rFonts w:ascii="Times New Roman" w:hAnsi="Times New Roman" w:eastAsia="宋体"/>
                      <w:color w:val="auto"/>
                      <w:sz w:val="21"/>
                      <w:szCs w:val="21"/>
                    </w:rPr>
                  </w:pP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"http://www.jjj999.com/anquanbiaozhi/images/14001.gif"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drawing>
                      <wp:inline distT="0" distB="0" distL="114300" distR="114300">
                        <wp:extent cx="853440" cy="853440"/>
                        <wp:effectExtent l="0" t="0" r="3810" b="381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
                                <pic:cNvPicPr>
                                  <a:picLocks noChangeAspect="1"/>
                                </pic:cNvPicPr>
                              </pic:nvPicPr>
                              <pic:blipFill>
                                <a:blip r:embed="rId27"/>
                                <a:stretch>
                                  <a:fillRect/>
                                </a:stretch>
                              </pic:blipFill>
                              <pic:spPr>
                                <a:xfrm>
                                  <a:off x="0" y="0"/>
                                  <a:ext cx="853440" cy="853440"/>
                                </a:xfrm>
                                <a:prstGeom prst="rect">
                                  <a:avLst/>
                                </a:prstGeom>
                                <a:noFill/>
                                <a:ln>
                                  <a:noFill/>
                                </a:ln>
                              </pic:spPr>
                            </pic:pic>
                          </a:graphicData>
                        </a:graphic>
                      </wp:inline>
                    </w:drawing>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p>
              </w:tc>
              <w:tc>
                <w:tcPr>
                  <w:tcW w:w="1264" w:type="pct"/>
                  <w:tcBorders>
                    <w:tl2br w:val="nil"/>
                    <w:tr2bl w:val="nil"/>
                  </w:tcBorders>
                  <w:noWrap w:val="0"/>
                  <w:vAlign w:val="center"/>
                </w:tcPr>
                <w:p w14:paraId="23D285FA">
                  <w:pPr>
                    <w:pStyle w:val="49"/>
                    <w:rPr>
                      <w:rFonts w:ascii="Times New Roman" w:hAnsi="Times New Roman" w:eastAsia="宋体"/>
                      <w:color w:val="auto"/>
                      <w:sz w:val="21"/>
                      <w:szCs w:val="21"/>
                    </w:rPr>
                  </w:pP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fldChar w:fldCharType="begin"/>
                  </w:r>
                  <w:r>
                    <w:rPr>
                      <w:rFonts w:ascii="Times New Roman" w:hAnsi="Times New Roman" w:eastAsia="宋体"/>
                      <w:color w:val="auto"/>
                      <w:sz w:val="21"/>
                      <w:szCs w:val="21"/>
                    </w:rPr>
                    <w:instrText xml:space="preserve"> INCLUDEPICTURE  "http://www.jjj999.com/anquanbiaozhi/images/14002.gif" \* MERGEFORMATINET </w:instrText>
                  </w:r>
                  <w:r>
                    <w:rPr>
                      <w:rFonts w:ascii="Times New Roman" w:hAnsi="Times New Roman" w:eastAsia="宋体"/>
                      <w:color w:val="auto"/>
                      <w:sz w:val="21"/>
                      <w:szCs w:val="21"/>
                    </w:rPr>
                    <w:fldChar w:fldCharType="separate"/>
                  </w:r>
                  <w:r>
                    <w:rPr>
                      <w:rFonts w:ascii="Times New Roman" w:hAnsi="Times New Roman" w:eastAsia="宋体"/>
                      <w:color w:val="auto"/>
                      <w:sz w:val="21"/>
                      <w:szCs w:val="21"/>
                    </w:rPr>
                    <w:drawing>
                      <wp:inline distT="0" distB="0" distL="114300" distR="114300">
                        <wp:extent cx="975360" cy="868680"/>
                        <wp:effectExtent l="0" t="0" r="15240" b="762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5"/>
                                <pic:cNvPicPr>
                                  <a:picLocks noChangeAspect="1"/>
                                </pic:cNvPicPr>
                              </pic:nvPicPr>
                              <pic:blipFill>
                                <a:blip r:embed="rId28"/>
                                <a:stretch>
                                  <a:fillRect/>
                                </a:stretch>
                              </pic:blipFill>
                              <pic:spPr>
                                <a:xfrm>
                                  <a:off x="0" y="0"/>
                                  <a:ext cx="975360" cy="868680"/>
                                </a:xfrm>
                                <a:prstGeom prst="rect">
                                  <a:avLst/>
                                </a:prstGeom>
                                <a:noFill/>
                                <a:ln>
                                  <a:noFill/>
                                </a:ln>
                              </pic:spPr>
                            </pic:pic>
                          </a:graphicData>
                        </a:graphic>
                      </wp:inline>
                    </w:drawing>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r>
                    <w:rPr>
                      <w:rFonts w:ascii="Times New Roman" w:hAnsi="Times New Roman" w:eastAsia="宋体"/>
                      <w:color w:val="auto"/>
                      <w:sz w:val="21"/>
                      <w:szCs w:val="21"/>
                    </w:rPr>
                    <w:fldChar w:fldCharType="end"/>
                  </w:r>
                </w:p>
              </w:tc>
              <w:tc>
                <w:tcPr>
                  <w:tcW w:w="839" w:type="pct"/>
                  <w:tcBorders>
                    <w:tl2br w:val="nil"/>
                    <w:tr2bl w:val="nil"/>
                  </w:tcBorders>
                  <w:noWrap w:val="0"/>
                  <w:vAlign w:val="center"/>
                </w:tcPr>
                <w:p w14:paraId="764D9A23">
                  <w:pPr>
                    <w:pStyle w:val="49"/>
                    <w:rPr>
                      <w:rFonts w:ascii="Times New Roman" w:hAnsi="Times New Roman" w:eastAsia="宋体"/>
                      <w:color w:val="auto"/>
                      <w:sz w:val="21"/>
                      <w:szCs w:val="21"/>
                    </w:rPr>
                  </w:pPr>
                  <w:r>
                    <w:rPr>
                      <w:rFonts w:ascii="Times New Roman" w:hAnsi="Times New Roman" w:eastAsia="宋体"/>
                      <w:color w:val="auto"/>
                      <w:sz w:val="21"/>
                      <w:szCs w:val="21"/>
                    </w:rPr>
                    <w:t>一般固体废物</w:t>
                  </w:r>
                </w:p>
              </w:tc>
              <w:tc>
                <w:tcPr>
                  <w:tcW w:w="1286" w:type="pct"/>
                  <w:tcBorders>
                    <w:tl2br w:val="nil"/>
                    <w:tr2bl w:val="nil"/>
                  </w:tcBorders>
                  <w:noWrap w:val="0"/>
                  <w:vAlign w:val="center"/>
                </w:tcPr>
                <w:p w14:paraId="319575F0">
                  <w:pPr>
                    <w:pStyle w:val="49"/>
                    <w:rPr>
                      <w:rFonts w:ascii="Times New Roman" w:hAnsi="Times New Roman" w:eastAsia="宋体"/>
                      <w:color w:val="auto"/>
                      <w:sz w:val="21"/>
                      <w:szCs w:val="21"/>
                    </w:rPr>
                  </w:pPr>
                  <w:r>
                    <w:rPr>
                      <w:rFonts w:ascii="Times New Roman" w:hAnsi="Times New Roman" w:eastAsia="宋体"/>
                      <w:color w:val="auto"/>
                      <w:sz w:val="21"/>
                      <w:szCs w:val="21"/>
                    </w:rPr>
                    <w:t>表示一般固体废物贮存、处置场</w:t>
                  </w:r>
                </w:p>
              </w:tc>
            </w:tr>
            <w:tr w14:paraId="2F4A32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05" w:type="pct"/>
                  <w:tcBorders>
                    <w:tl2br w:val="nil"/>
                    <w:tr2bl w:val="nil"/>
                  </w:tcBorders>
                  <w:noWrap w:val="0"/>
                  <w:vAlign w:val="center"/>
                </w:tcPr>
                <w:p w14:paraId="124C49CF">
                  <w:pPr>
                    <w:pStyle w:val="49"/>
                    <w:rPr>
                      <w:rFonts w:ascii="Times New Roman" w:hAnsi="Times New Roman" w:eastAsia="宋体"/>
                      <w:color w:val="auto"/>
                      <w:sz w:val="21"/>
                      <w:szCs w:val="21"/>
                    </w:rPr>
                  </w:pPr>
                  <w:r>
                    <w:rPr>
                      <w:rFonts w:ascii="Times New Roman" w:hAnsi="Times New Roman" w:eastAsia="宋体"/>
                      <w:color w:val="auto"/>
                      <w:sz w:val="21"/>
                      <w:szCs w:val="21"/>
                    </w:rPr>
                    <w:t>3</w:t>
                  </w:r>
                </w:p>
              </w:tc>
              <w:tc>
                <w:tcPr>
                  <w:tcW w:w="1203" w:type="pct"/>
                  <w:tcBorders>
                    <w:tl2br w:val="nil"/>
                    <w:tr2bl w:val="nil"/>
                  </w:tcBorders>
                  <w:noWrap w:val="0"/>
                  <w:vAlign w:val="center"/>
                </w:tcPr>
                <w:p w14:paraId="724D39EC">
                  <w:pPr>
                    <w:pStyle w:val="49"/>
                    <w:rPr>
                      <w:rFonts w:ascii="Times New Roman" w:hAnsi="Times New Roman" w:eastAsia="宋体"/>
                      <w:color w:val="auto"/>
                      <w:sz w:val="21"/>
                      <w:szCs w:val="21"/>
                    </w:rPr>
                  </w:pPr>
                  <w:r>
                    <w:rPr>
                      <w:rFonts w:ascii="Times New Roman" w:hAnsi="Times New Roman" w:eastAsia="宋体"/>
                      <w:color w:val="auto"/>
                      <w:sz w:val="21"/>
                      <w:szCs w:val="21"/>
                    </w:rPr>
                    <w:t>/</w:t>
                  </w:r>
                </w:p>
              </w:tc>
              <w:tc>
                <w:tcPr>
                  <w:tcW w:w="1264" w:type="pct"/>
                  <w:tcBorders>
                    <w:tl2br w:val="nil"/>
                    <w:tr2bl w:val="nil"/>
                  </w:tcBorders>
                  <w:noWrap w:val="0"/>
                  <w:vAlign w:val="center"/>
                </w:tcPr>
                <w:p w14:paraId="0F9CBCD4">
                  <w:pPr>
                    <w:pStyle w:val="49"/>
                    <w:rPr>
                      <w:rFonts w:ascii="Times New Roman" w:hAnsi="Times New Roman" w:eastAsia="宋体"/>
                      <w:color w:val="auto"/>
                      <w:sz w:val="21"/>
                      <w:szCs w:val="21"/>
                    </w:rPr>
                  </w:pPr>
                  <w:r>
                    <w:rPr>
                      <w:rFonts w:hint="eastAsia" w:ascii="Times New Roman" w:hAnsi="Times New Roman" w:eastAsia="宋体"/>
                      <w:color w:val="auto"/>
                      <w:sz w:val="21"/>
                      <w:szCs w:val="21"/>
                      <w:lang w:eastAsia="zh-CN"/>
                    </w:rPr>
                    <w:drawing>
                      <wp:inline distT="0" distB="0" distL="114300" distR="114300">
                        <wp:extent cx="959485" cy="835025"/>
                        <wp:effectExtent l="0" t="0" r="12065" b="3175"/>
                        <wp:docPr id="11" name="图片 21" descr="119d30a13722ae6ce4be2d18d65f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119d30a13722ae6ce4be2d18d65fbdb"/>
                                <pic:cNvPicPr>
                                  <a:picLocks noChangeAspect="1"/>
                                </pic:cNvPicPr>
                              </pic:nvPicPr>
                              <pic:blipFill>
                                <a:blip r:embed="rId29"/>
                                <a:stretch>
                                  <a:fillRect/>
                                </a:stretch>
                              </pic:blipFill>
                              <pic:spPr>
                                <a:xfrm>
                                  <a:off x="0" y="0"/>
                                  <a:ext cx="959485" cy="835025"/>
                                </a:xfrm>
                                <a:prstGeom prst="rect">
                                  <a:avLst/>
                                </a:prstGeom>
                                <a:noFill/>
                                <a:ln>
                                  <a:noFill/>
                                </a:ln>
                              </pic:spPr>
                            </pic:pic>
                          </a:graphicData>
                        </a:graphic>
                      </wp:inline>
                    </w:drawing>
                  </w:r>
                </w:p>
              </w:tc>
              <w:tc>
                <w:tcPr>
                  <w:tcW w:w="839" w:type="pct"/>
                  <w:tcBorders>
                    <w:tl2br w:val="nil"/>
                    <w:tr2bl w:val="nil"/>
                  </w:tcBorders>
                  <w:noWrap w:val="0"/>
                  <w:vAlign w:val="center"/>
                </w:tcPr>
                <w:p w14:paraId="74FDAA77">
                  <w:pPr>
                    <w:pStyle w:val="49"/>
                    <w:rPr>
                      <w:rFonts w:ascii="Times New Roman" w:hAnsi="Times New Roman" w:eastAsia="宋体"/>
                      <w:color w:val="auto"/>
                      <w:sz w:val="21"/>
                      <w:szCs w:val="21"/>
                    </w:rPr>
                  </w:pPr>
                  <w:r>
                    <w:rPr>
                      <w:rFonts w:ascii="Times New Roman" w:hAnsi="Times New Roman" w:eastAsia="宋体"/>
                      <w:color w:val="auto"/>
                      <w:sz w:val="21"/>
                      <w:szCs w:val="21"/>
                    </w:rPr>
                    <w:t>危险废物</w:t>
                  </w:r>
                </w:p>
              </w:tc>
              <w:tc>
                <w:tcPr>
                  <w:tcW w:w="1286" w:type="pct"/>
                  <w:tcBorders>
                    <w:tl2br w:val="nil"/>
                    <w:tr2bl w:val="nil"/>
                  </w:tcBorders>
                  <w:noWrap w:val="0"/>
                  <w:vAlign w:val="center"/>
                </w:tcPr>
                <w:p w14:paraId="40C8BFC6">
                  <w:pPr>
                    <w:pStyle w:val="49"/>
                    <w:rPr>
                      <w:rFonts w:ascii="Times New Roman" w:hAnsi="Times New Roman" w:eastAsia="宋体"/>
                      <w:color w:val="auto"/>
                      <w:sz w:val="21"/>
                      <w:szCs w:val="21"/>
                    </w:rPr>
                  </w:pPr>
                  <w:r>
                    <w:rPr>
                      <w:rFonts w:ascii="Times New Roman" w:hAnsi="Times New Roman" w:eastAsia="宋体"/>
                      <w:color w:val="auto"/>
                      <w:sz w:val="21"/>
                      <w:szCs w:val="21"/>
                    </w:rPr>
                    <w:t>表示危险废物贮存、处置场</w:t>
                  </w:r>
                </w:p>
              </w:tc>
            </w:tr>
            <w:tr w14:paraId="72B9D1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5" w:type="pct"/>
                  <w:tcBorders>
                    <w:tl2br w:val="nil"/>
                    <w:tr2bl w:val="nil"/>
                  </w:tcBorders>
                  <w:noWrap w:val="0"/>
                  <w:vAlign w:val="center"/>
                </w:tcPr>
                <w:p w14:paraId="0A0FAEEA">
                  <w:pPr>
                    <w:pStyle w:val="49"/>
                    <w:rPr>
                      <w:rFonts w:ascii="Times New Roman" w:hAnsi="Times New Roman" w:eastAsia="宋体"/>
                      <w:color w:val="auto"/>
                      <w:sz w:val="21"/>
                      <w:szCs w:val="21"/>
                    </w:rPr>
                  </w:pPr>
                  <w:r>
                    <w:rPr>
                      <w:rFonts w:ascii="Times New Roman" w:hAnsi="Times New Roman" w:eastAsia="宋体"/>
                      <w:color w:val="auto"/>
                      <w:sz w:val="21"/>
                      <w:szCs w:val="21"/>
                    </w:rPr>
                    <w:t>4</w:t>
                  </w:r>
                </w:p>
              </w:tc>
              <w:tc>
                <w:tcPr>
                  <w:tcW w:w="1203" w:type="pct"/>
                  <w:tcBorders>
                    <w:tl2br w:val="nil"/>
                    <w:tr2bl w:val="nil"/>
                  </w:tcBorders>
                  <w:noWrap w:val="0"/>
                  <w:vAlign w:val="center"/>
                </w:tcPr>
                <w:p w14:paraId="5D5F870E">
                  <w:pPr>
                    <w:pStyle w:val="49"/>
                    <w:rPr>
                      <w:rFonts w:ascii="Times New Roman" w:hAnsi="Times New Roman" w:eastAsia="宋体"/>
                      <w:color w:val="auto"/>
                      <w:sz w:val="21"/>
                      <w:szCs w:val="21"/>
                    </w:rPr>
                  </w:pPr>
                  <w:r>
                    <w:rPr>
                      <w:rFonts w:ascii="Times New Roman" w:hAnsi="Times New Roman" w:eastAsia="宋体"/>
                      <w:color w:val="auto"/>
                      <w:sz w:val="21"/>
                      <w:szCs w:val="21"/>
                    </w:rPr>
                    <w:drawing>
                      <wp:inline distT="0" distB="0" distL="114300" distR="114300">
                        <wp:extent cx="857250" cy="857250"/>
                        <wp:effectExtent l="0" t="0" r="0" b="0"/>
                        <wp:docPr id="14" name="图片 37" descr="mar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descr="mark_3"/>
                                <pic:cNvPicPr>
                                  <a:picLocks noChangeAspect="1"/>
                                </pic:cNvPicPr>
                              </pic:nvPicPr>
                              <pic:blipFill>
                                <a:blip r:embed="rId30"/>
                                <a:stretch>
                                  <a:fillRect/>
                                </a:stretch>
                              </pic:blipFill>
                              <pic:spPr>
                                <a:xfrm>
                                  <a:off x="0" y="0"/>
                                  <a:ext cx="857250" cy="857250"/>
                                </a:xfrm>
                                <a:prstGeom prst="rect">
                                  <a:avLst/>
                                </a:prstGeom>
                                <a:noFill/>
                                <a:ln>
                                  <a:noFill/>
                                </a:ln>
                              </pic:spPr>
                            </pic:pic>
                          </a:graphicData>
                        </a:graphic>
                      </wp:inline>
                    </w:drawing>
                  </w:r>
                </w:p>
              </w:tc>
              <w:tc>
                <w:tcPr>
                  <w:tcW w:w="1264" w:type="pct"/>
                  <w:tcBorders>
                    <w:tl2br w:val="nil"/>
                    <w:tr2bl w:val="nil"/>
                  </w:tcBorders>
                  <w:noWrap w:val="0"/>
                  <w:vAlign w:val="center"/>
                </w:tcPr>
                <w:p w14:paraId="415B8D17">
                  <w:pPr>
                    <w:pStyle w:val="49"/>
                    <w:rPr>
                      <w:rFonts w:ascii="Times New Roman" w:hAnsi="Times New Roman" w:eastAsia="宋体"/>
                      <w:color w:val="auto"/>
                      <w:sz w:val="21"/>
                      <w:szCs w:val="21"/>
                    </w:rPr>
                  </w:pPr>
                  <w:r>
                    <w:rPr>
                      <w:rFonts w:ascii="Times New Roman" w:hAnsi="Times New Roman" w:eastAsia="宋体"/>
                      <w:color w:val="auto"/>
                      <w:sz w:val="21"/>
                      <w:szCs w:val="21"/>
                    </w:rPr>
                    <w:drawing>
                      <wp:inline distT="0" distB="0" distL="114300" distR="114300">
                        <wp:extent cx="963295" cy="847725"/>
                        <wp:effectExtent l="0" t="0" r="8255" b="9525"/>
                        <wp:docPr id="16" name="图片 38" descr="mark_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8" descr="mark_j3"/>
                                <pic:cNvPicPr>
                                  <a:picLocks noChangeAspect="1"/>
                                </pic:cNvPicPr>
                              </pic:nvPicPr>
                              <pic:blipFill>
                                <a:blip r:embed="rId31"/>
                                <a:stretch>
                                  <a:fillRect/>
                                </a:stretch>
                              </pic:blipFill>
                              <pic:spPr>
                                <a:xfrm>
                                  <a:off x="0" y="0"/>
                                  <a:ext cx="963295" cy="847725"/>
                                </a:xfrm>
                                <a:prstGeom prst="rect">
                                  <a:avLst/>
                                </a:prstGeom>
                                <a:noFill/>
                                <a:ln>
                                  <a:noFill/>
                                </a:ln>
                              </pic:spPr>
                            </pic:pic>
                          </a:graphicData>
                        </a:graphic>
                      </wp:inline>
                    </w:drawing>
                  </w:r>
                </w:p>
              </w:tc>
              <w:tc>
                <w:tcPr>
                  <w:tcW w:w="839" w:type="pct"/>
                  <w:tcBorders>
                    <w:tl2br w:val="nil"/>
                    <w:tr2bl w:val="nil"/>
                  </w:tcBorders>
                  <w:noWrap w:val="0"/>
                  <w:vAlign w:val="center"/>
                </w:tcPr>
                <w:p w14:paraId="7FDB8BB7">
                  <w:pPr>
                    <w:pStyle w:val="49"/>
                    <w:rPr>
                      <w:rFonts w:ascii="Times New Roman" w:hAnsi="Times New Roman" w:eastAsia="宋体"/>
                      <w:color w:val="auto"/>
                      <w:sz w:val="21"/>
                      <w:szCs w:val="21"/>
                    </w:rPr>
                  </w:pPr>
                  <w:r>
                    <w:rPr>
                      <w:rFonts w:ascii="Times New Roman" w:hAnsi="Times New Roman" w:eastAsia="宋体"/>
                      <w:color w:val="auto"/>
                      <w:sz w:val="21"/>
                      <w:szCs w:val="21"/>
                    </w:rPr>
                    <w:t>噪声排放源</w:t>
                  </w:r>
                </w:p>
              </w:tc>
              <w:tc>
                <w:tcPr>
                  <w:tcW w:w="1286" w:type="pct"/>
                  <w:tcBorders>
                    <w:tl2br w:val="nil"/>
                    <w:tr2bl w:val="nil"/>
                  </w:tcBorders>
                  <w:noWrap w:val="0"/>
                  <w:vAlign w:val="center"/>
                </w:tcPr>
                <w:p w14:paraId="0D1C07E7">
                  <w:pPr>
                    <w:pStyle w:val="49"/>
                    <w:rPr>
                      <w:rFonts w:ascii="Times New Roman" w:hAnsi="Times New Roman" w:eastAsia="宋体"/>
                      <w:color w:val="auto"/>
                      <w:sz w:val="21"/>
                      <w:szCs w:val="21"/>
                    </w:rPr>
                  </w:pPr>
                  <w:r>
                    <w:rPr>
                      <w:rFonts w:ascii="Times New Roman" w:hAnsi="Times New Roman" w:eastAsia="宋体"/>
                      <w:color w:val="auto"/>
                      <w:sz w:val="21"/>
                      <w:szCs w:val="21"/>
                    </w:rPr>
                    <w:t>表示噪声向外环境排放</w:t>
                  </w:r>
                </w:p>
              </w:tc>
            </w:tr>
            <w:tr w14:paraId="2022FE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05" w:type="pct"/>
                  <w:tcBorders>
                    <w:tl2br w:val="nil"/>
                    <w:tr2bl w:val="nil"/>
                  </w:tcBorders>
                  <w:noWrap w:val="0"/>
                  <w:vAlign w:val="center"/>
                </w:tcPr>
                <w:p w14:paraId="16EE7E6D">
                  <w:pPr>
                    <w:pStyle w:val="49"/>
                    <w:rPr>
                      <w:rFonts w:hint="eastAsia" w:ascii="Times New Roman" w:hAnsi="Times New Roman" w:eastAsia="宋体"/>
                      <w:color w:val="auto"/>
                      <w:sz w:val="21"/>
                      <w:szCs w:val="21"/>
                      <w:lang w:val="en-US" w:eastAsia="zh-CN"/>
                    </w:rPr>
                  </w:pPr>
                  <w:r>
                    <w:rPr>
                      <w:rFonts w:hint="eastAsia"/>
                      <w:color w:val="auto"/>
                      <w:sz w:val="21"/>
                      <w:szCs w:val="21"/>
                      <w:lang w:val="en-US" w:eastAsia="zh-CN"/>
                    </w:rPr>
                    <w:t>5</w:t>
                  </w:r>
                </w:p>
              </w:tc>
              <w:tc>
                <w:tcPr>
                  <w:tcW w:w="1203" w:type="pct"/>
                  <w:tcBorders>
                    <w:tl2br w:val="nil"/>
                    <w:tr2bl w:val="nil"/>
                  </w:tcBorders>
                  <w:noWrap w:val="0"/>
                  <w:vAlign w:val="center"/>
                </w:tcPr>
                <w:p w14:paraId="2DB1FD62">
                  <w:pPr>
                    <w:pStyle w:val="49"/>
                    <w:rPr>
                      <w:rFonts w:ascii="Times New Roman" w:hAnsi="Times New Roman" w:eastAsia="宋体"/>
                      <w:color w:val="auto"/>
                      <w:sz w:val="21"/>
                      <w:szCs w:val="21"/>
                    </w:rPr>
                  </w:pPr>
                  <w:r>
                    <w:rPr>
                      <w:sz w:val="21"/>
                      <w:szCs w:val="21"/>
                    </w:rPr>
                    <w:drawing>
                      <wp:inline distT="0" distB="0" distL="114300" distR="114300">
                        <wp:extent cx="1117600" cy="870585"/>
                        <wp:effectExtent l="0" t="0" r="6350" b="5715"/>
                        <wp:docPr id="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pic:cNvPicPr>
                                  <a:picLocks noChangeAspect="1"/>
                                </pic:cNvPicPr>
                              </pic:nvPicPr>
                              <pic:blipFill>
                                <a:blip r:embed="rId32"/>
                                <a:stretch>
                                  <a:fillRect/>
                                </a:stretch>
                              </pic:blipFill>
                              <pic:spPr>
                                <a:xfrm>
                                  <a:off x="0" y="0"/>
                                  <a:ext cx="1117600" cy="870585"/>
                                </a:xfrm>
                                <a:prstGeom prst="rect">
                                  <a:avLst/>
                                </a:prstGeom>
                                <a:noFill/>
                                <a:ln>
                                  <a:noFill/>
                                </a:ln>
                              </pic:spPr>
                            </pic:pic>
                          </a:graphicData>
                        </a:graphic>
                      </wp:inline>
                    </w:drawing>
                  </w:r>
                </w:p>
              </w:tc>
              <w:tc>
                <w:tcPr>
                  <w:tcW w:w="1264" w:type="pct"/>
                  <w:tcBorders>
                    <w:tl2br w:val="nil"/>
                    <w:tr2bl w:val="nil"/>
                  </w:tcBorders>
                  <w:noWrap w:val="0"/>
                  <w:vAlign w:val="center"/>
                </w:tcPr>
                <w:p w14:paraId="0E7B76FE">
                  <w:pPr>
                    <w:pStyle w:val="49"/>
                    <w:rPr>
                      <w:rFonts w:ascii="Times New Roman" w:hAnsi="Times New Roman" w:eastAsia="宋体"/>
                      <w:color w:val="auto"/>
                      <w:sz w:val="21"/>
                      <w:szCs w:val="21"/>
                    </w:rPr>
                  </w:pPr>
                  <w:r>
                    <w:rPr>
                      <w:sz w:val="21"/>
                      <w:szCs w:val="21"/>
                    </w:rPr>
                    <w:drawing>
                      <wp:inline distT="0" distB="0" distL="114300" distR="114300">
                        <wp:extent cx="1179830" cy="977265"/>
                        <wp:effectExtent l="0" t="0" r="1270" b="13335"/>
                        <wp:docPr id="1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pic:cNvPicPr>
                                  <a:picLocks noChangeAspect="1"/>
                                </pic:cNvPicPr>
                              </pic:nvPicPr>
                              <pic:blipFill>
                                <a:blip r:embed="rId33"/>
                                <a:stretch>
                                  <a:fillRect/>
                                </a:stretch>
                              </pic:blipFill>
                              <pic:spPr>
                                <a:xfrm>
                                  <a:off x="0" y="0"/>
                                  <a:ext cx="1179830" cy="977265"/>
                                </a:xfrm>
                                <a:prstGeom prst="rect">
                                  <a:avLst/>
                                </a:prstGeom>
                                <a:noFill/>
                                <a:ln>
                                  <a:noFill/>
                                </a:ln>
                              </pic:spPr>
                            </pic:pic>
                          </a:graphicData>
                        </a:graphic>
                      </wp:inline>
                    </w:drawing>
                  </w:r>
                </w:p>
              </w:tc>
              <w:tc>
                <w:tcPr>
                  <w:tcW w:w="839" w:type="pct"/>
                  <w:tcBorders>
                    <w:tl2br w:val="nil"/>
                    <w:tr2bl w:val="nil"/>
                  </w:tcBorders>
                  <w:noWrap w:val="0"/>
                  <w:vAlign w:val="center"/>
                </w:tcPr>
                <w:p w14:paraId="34BDA1D9">
                  <w:pPr>
                    <w:adjustRightInd w:val="0"/>
                    <w:snapToGrid w:val="0"/>
                    <w:ind w:left="-63" w:leftChars="-30" w:right="-63" w:rightChars="-30"/>
                    <w:jc w:val="center"/>
                    <w:rPr>
                      <w:rFonts w:ascii="Times New Roman" w:hAnsi="Times New Roman" w:eastAsia="宋体" w:cs="Times New Roman"/>
                      <w:color w:val="000000"/>
                      <w:kern w:val="2"/>
                      <w:sz w:val="21"/>
                      <w:szCs w:val="21"/>
                      <w:lang w:val="en-US" w:eastAsia="zh-CN" w:bidi="ar-SA"/>
                    </w:rPr>
                  </w:pPr>
                  <w:r>
                    <w:rPr>
                      <w:rFonts w:eastAsia="宋体"/>
                      <w:color w:val="000000"/>
                      <w:sz w:val="21"/>
                      <w:szCs w:val="21"/>
                    </w:rPr>
                    <w:t>废水排放口</w:t>
                  </w:r>
                </w:p>
              </w:tc>
              <w:tc>
                <w:tcPr>
                  <w:tcW w:w="1286" w:type="pct"/>
                  <w:tcBorders>
                    <w:tl2br w:val="nil"/>
                    <w:tr2bl w:val="nil"/>
                  </w:tcBorders>
                  <w:noWrap w:val="0"/>
                  <w:vAlign w:val="center"/>
                </w:tcPr>
                <w:p w14:paraId="7EFD8764">
                  <w:pPr>
                    <w:adjustRightInd w:val="0"/>
                    <w:snapToGrid w:val="0"/>
                    <w:jc w:val="center"/>
                    <w:rPr>
                      <w:rFonts w:ascii="Times New Roman" w:hAnsi="Times New Roman" w:eastAsia="宋体" w:cs="Times New Roman"/>
                      <w:color w:val="000000"/>
                      <w:kern w:val="2"/>
                      <w:sz w:val="21"/>
                      <w:szCs w:val="21"/>
                      <w:lang w:val="en-US" w:eastAsia="zh-CN" w:bidi="ar-SA"/>
                    </w:rPr>
                  </w:pPr>
                  <w:r>
                    <w:rPr>
                      <w:rFonts w:eastAsia="宋体"/>
                      <w:color w:val="000000"/>
                      <w:sz w:val="21"/>
                      <w:szCs w:val="21"/>
                    </w:rPr>
                    <w:t>表示污水向水体排放</w:t>
                  </w:r>
                </w:p>
              </w:tc>
            </w:tr>
          </w:tbl>
          <w:p w14:paraId="2BD197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 xml:space="preserve">）危废台账记录 </w:t>
            </w:r>
          </w:p>
          <w:p w14:paraId="7AB89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 xml:space="preserve">①应建立危险废物管理台账，落实危险废物管理台账记录的责任人，明确工作职责，并对危险废物管理台账的真实性、准确性和完整性负 法律责任。 </w:t>
            </w:r>
          </w:p>
          <w:p w14:paraId="0073E3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 xml:space="preserve">②应根据危险废物产生、贮存、利用、处置等环节的动态流向，如实建立各环节的危险废物管理台账。 </w:t>
            </w:r>
          </w:p>
          <w:p w14:paraId="6B8CB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③产生后盛放至容器和包装物的，应按每个容器和包装物进行记录。危险废物产生环节，应记录产生批次编码、产生时间、危险废物名称、危险废物类别、危险废物代码、产生量、计量单位、容器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包装编码、容器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包装类型、容器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包装数量、产生危险废物设施编码、产生部门经办人、去向等。危险废物委外利用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处置环节，应记录委外利用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处置批次编码、出厂时间、容器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包装编码、容 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包装类型、容器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包装数量、危险废物名称、危险废物类别、危险废物代码、委外利用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处置量、计量 单位、利用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处置方式、接收单位类型、利用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处置单位名称、许可证编码</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出口核准通知单编号、产生批次编码</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 xml:space="preserve">出库批次编码等。 </w:t>
            </w:r>
          </w:p>
          <w:p w14:paraId="2AC69B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④保存时间原则上应存档</w:t>
            </w:r>
            <w:r>
              <w:rPr>
                <w:rFonts w:hint="default" w:ascii="Times New Roman" w:hAnsi="Times New Roman" w:eastAsia="宋体"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年以上。</w:t>
            </w:r>
          </w:p>
          <w:p w14:paraId="4F8F43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（6）排污许可</w:t>
            </w:r>
          </w:p>
          <w:p w14:paraId="0666F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本项目属于 </w:t>
            </w:r>
            <w:r>
              <w:rPr>
                <w:rFonts w:hint="default" w:ascii="Times New Roman" w:hAnsi="Times New Roman" w:eastAsia="宋体" w:cs="Times New Roman"/>
                <w:color w:val="auto"/>
                <w:sz w:val="24"/>
                <w:szCs w:val="24"/>
                <w:lang w:val="en-US" w:eastAsia="zh-CN"/>
              </w:rPr>
              <w:t xml:space="preserve">C3042 </w:t>
            </w:r>
            <w:r>
              <w:rPr>
                <w:rFonts w:hint="eastAsia" w:ascii="Times New Roman" w:hAnsi="Times New Roman" w:eastAsia="宋体" w:cs="Times New Roman"/>
                <w:color w:val="auto"/>
                <w:sz w:val="24"/>
                <w:szCs w:val="24"/>
                <w:lang w:val="en-US" w:eastAsia="zh-CN"/>
              </w:rPr>
              <w:t>特种玻璃制造，对照《固定污染源排污许可分类管理名录》（</w:t>
            </w:r>
            <w:r>
              <w:rPr>
                <w:rFonts w:hint="default" w:ascii="Times New Roman" w:hAnsi="Times New Roman" w:eastAsia="宋体" w:cs="Times New Roman"/>
                <w:color w:val="auto"/>
                <w:sz w:val="24"/>
                <w:szCs w:val="24"/>
                <w:lang w:val="en-US" w:eastAsia="zh-CN"/>
              </w:rPr>
              <w:t xml:space="preserve">2019 </w:t>
            </w:r>
            <w:r>
              <w:rPr>
                <w:rFonts w:hint="eastAsia" w:ascii="Times New Roman" w:hAnsi="Times New Roman" w:eastAsia="宋体" w:cs="Times New Roman"/>
                <w:color w:val="auto"/>
                <w:sz w:val="24"/>
                <w:szCs w:val="24"/>
                <w:lang w:val="en-US" w:eastAsia="zh-CN"/>
              </w:rPr>
              <w:t xml:space="preserve">年版），本项目属于《名录》“二十五、非金属矿物制品业 </w:t>
            </w:r>
            <w:r>
              <w:rPr>
                <w:rFonts w:hint="default" w:ascii="Times New Roman" w:hAnsi="Times New Roman" w:eastAsia="宋体" w:cs="Times New Roman"/>
                <w:color w:val="auto"/>
                <w:sz w:val="24"/>
                <w:szCs w:val="24"/>
                <w:lang w:val="en-US" w:eastAsia="zh-CN"/>
              </w:rPr>
              <w:t>30</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lang w:val="en-US" w:eastAsia="zh-CN"/>
              </w:rPr>
              <w:t>65</w:t>
            </w:r>
            <w:r>
              <w:rPr>
                <w:rFonts w:hint="eastAsia" w:ascii="Times New Roman" w:hAnsi="Times New Roman" w:eastAsia="宋体" w:cs="Times New Roman"/>
                <w:color w:val="auto"/>
                <w:sz w:val="24"/>
                <w:szCs w:val="24"/>
                <w:lang w:val="en-US" w:eastAsia="zh-CN"/>
              </w:rPr>
              <w:t xml:space="preserve">、玻璃制造 </w:t>
            </w:r>
            <w:r>
              <w:rPr>
                <w:rFonts w:hint="default" w:ascii="Times New Roman" w:hAnsi="Times New Roman" w:eastAsia="宋体" w:cs="Times New Roman"/>
                <w:color w:val="auto"/>
                <w:sz w:val="24"/>
                <w:szCs w:val="24"/>
                <w:lang w:val="en-US" w:eastAsia="zh-CN"/>
              </w:rPr>
              <w:t>304</w:t>
            </w:r>
            <w:r>
              <w:rPr>
                <w:rFonts w:hint="eastAsia" w:ascii="Times New Roman" w:hAnsi="Times New Roman" w:eastAsia="宋体" w:cs="Times New Roman"/>
                <w:color w:val="auto"/>
                <w:sz w:val="24"/>
                <w:szCs w:val="24"/>
                <w:lang w:val="en-US" w:eastAsia="zh-CN"/>
              </w:rPr>
              <w:t xml:space="preserve">”“特种玻璃制造 </w:t>
            </w:r>
            <w:r>
              <w:rPr>
                <w:rFonts w:hint="default" w:ascii="Times New Roman" w:hAnsi="Times New Roman" w:eastAsia="宋体" w:cs="Times New Roman"/>
                <w:color w:val="auto"/>
                <w:sz w:val="24"/>
                <w:szCs w:val="24"/>
                <w:lang w:val="en-US" w:eastAsia="zh-CN"/>
              </w:rPr>
              <w:t>3042</w:t>
            </w:r>
            <w:r>
              <w:rPr>
                <w:rFonts w:hint="eastAsia" w:ascii="Times New Roman" w:hAnsi="Times New Roman" w:eastAsia="宋体" w:cs="Times New Roman"/>
                <w:color w:val="auto"/>
                <w:sz w:val="24"/>
                <w:szCs w:val="24"/>
                <w:lang w:val="en-US" w:eastAsia="zh-CN"/>
              </w:rPr>
              <w:t>”项，属于排污许可中“简化管理”。企业应于产生实际污染物排放前按《排污许可管理条例》申请排污许可证。</w:t>
            </w:r>
          </w:p>
          <w:p w14:paraId="32855256">
            <w:pPr>
              <w:rPr>
                <w:rFonts w:hint="default"/>
                <w:color w:val="auto"/>
              </w:rPr>
            </w:pPr>
          </w:p>
        </w:tc>
      </w:tr>
    </w:tbl>
    <w:p w14:paraId="359E0FA0">
      <w:pPr>
        <w:bidi w:val="0"/>
        <w:rPr>
          <w:rFonts w:hint="eastAsia"/>
          <w:color w:val="auto"/>
          <w:sz w:val="30"/>
          <w:szCs w:val="30"/>
        </w:rPr>
        <w:sectPr>
          <w:pgSz w:w="11906"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53B42E4">
      <w:pPr>
        <w:jc w:val="center"/>
        <w:outlineLvl w:val="0"/>
        <w:rPr>
          <w:rFonts w:hint="eastAsia" w:ascii="黑体" w:hAnsi="黑体" w:eastAsia="黑体"/>
          <w:snapToGrid w:val="0"/>
          <w:color w:val="auto"/>
          <w:sz w:val="30"/>
          <w:szCs w:val="30"/>
        </w:rPr>
      </w:pPr>
      <w:r>
        <w:rPr>
          <w:rFonts w:hint="eastAsia" w:ascii="黑体" w:hAnsi="黑体" w:eastAsia="黑体"/>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A5DE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5" w:type="dxa"/>
            <w:noWrap w:val="0"/>
            <w:vAlign w:val="top"/>
          </w:tcPr>
          <w:p w14:paraId="09F26218">
            <w:pPr>
              <w:bidi w:val="0"/>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综上所述，辽宁琅润钢化玻璃有限公司</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年加工30万平方米钢化中空玻璃项目</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符合国家产业政策和环保法律法规，选址合理。</w:t>
            </w:r>
            <w:r>
              <w:rPr>
                <w:rFonts w:ascii="宋体" w:hAnsi="宋体"/>
                <w:sz w:val="24"/>
              </w:rPr>
              <w:t>项目在认真落实本环评报告提出的各项污染防治措施，加强环境</w:t>
            </w:r>
            <w:r>
              <w:rPr>
                <w:sz w:val="24"/>
              </w:rPr>
              <w:t>管理的前提下，各</w:t>
            </w:r>
            <w:r>
              <w:rPr>
                <w:rFonts w:hint="eastAsia"/>
                <w:sz w:val="24"/>
              </w:rPr>
              <w:t>项</w:t>
            </w:r>
            <w:r>
              <w:rPr>
                <w:sz w:val="24"/>
              </w:rPr>
              <w:t>污染物均可以达标排放</w:t>
            </w:r>
            <w:r>
              <w:rPr>
                <w:rFonts w:hint="eastAsia"/>
                <w:sz w:val="24"/>
              </w:rPr>
              <w:t>。建设单位</w:t>
            </w:r>
            <w:r>
              <w:rPr>
                <w:rFonts w:hAnsi="宋体"/>
                <w:sz w:val="24"/>
              </w:rPr>
              <w:t>只要认真贯彻执行国家的环保法律、法规，认真落实本环评提出的污染防治对策，</w:t>
            </w:r>
            <w:r>
              <w:rPr>
                <w:sz w:val="24"/>
              </w:rPr>
              <w:t>从</w:t>
            </w:r>
            <w:r>
              <w:rPr>
                <w:rFonts w:hint="eastAsia"/>
                <w:sz w:val="24"/>
              </w:rPr>
              <w:t>生态环境</w:t>
            </w:r>
            <w:r>
              <w:rPr>
                <w:sz w:val="24"/>
              </w:rPr>
              <w:t>角度出发，</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年加工30万平方米钢化中空玻璃项目</w:t>
            </w:r>
            <w:r>
              <w:rPr>
                <w:rFonts w:hint="eastAsia" w:cs="Times New Roman"/>
                <w:color w:val="auto"/>
                <w:sz w:val="24"/>
                <w:szCs w:val="24"/>
                <w:lang w:val="en-US" w:eastAsia="zh-CN"/>
              </w:rPr>
              <w:t>》</w:t>
            </w:r>
            <w:r>
              <w:rPr>
                <w:rFonts w:hint="eastAsia"/>
                <w:sz w:val="24"/>
              </w:rPr>
              <w:t>的建设</w:t>
            </w:r>
            <w:r>
              <w:rPr>
                <w:sz w:val="24"/>
              </w:rPr>
              <w:t>是可行的</w:t>
            </w:r>
            <w:r>
              <w:rPr>
                <w:rFonts w:hint="eastAsia"/>
                <w:sz w:val="24"/>
              </w:rPr>
              <w:t>。</w:t>
            </w:r>
          </w:p>
          <w:p w14:paraId="6676EFC2">
            <w:pPr>
              <w:bidi w:val="0"/>
              <w:spacing w:line="360" w:lineRule="auto"/>
              <w:ind w:firstLine="480" w:firstLineChars="200"/>
              <w:rPr>
                <w:rFonts w:hint="default" w:ascii="Times New Roman" w:hAnsi="Times New Roman" w:cs="Times New Roman"/>
                <w:color w:val="auto"/>
                <w:sz w:val="24"/>
                <w:szCs w:val="24"/>
                <w:lang w:val="en-US" w:eastAsia="zh-CN"/>
              </w:rPr>
            </w:pPr>
          </w:p>
          <w:p w14:paraId="016868E5">
            <w:pPr>
              <w:bidi w:val="0"/>
              <w:spacing w:line="360" w:lineRule="auto"/>
              <w:ind w:firstLine="480" w:firstLineChars="200"/>
              <w:rPr>
                <w:rFonts w:hint="default" w:ascii="Times New Roman" w:hAnsi="Times New Roman" w:cs="Times New Roman"/>
                <w:color w:val="auto"/>
                <w:sz w:val="24"/>
                <w:szCs w:val="24"/>
                <w:lang w:val="en-US" w:eastAsia="zh-CN"/>
              </w:rPr>
            </w:pPr>
          </w:p>
          <w:p w14:paraId="7B742F71">
            <w:pPr>
              <w:bidi w:val="0"/>
              <w:spacing w:line="360" w:lineRule="auto"/>
              <w:ind w:firstLine="480" w:firstLineChars="200"/>
              <w:rPr>
                <w:rFonts w:hint="default" w:ascii="Times New Roman" w:hAnsi="Times New Roman" w:cs="Times New Roman"/>
                <w:color w:val="auto"/>
                <w:sz w:val="24"/>
                <w:szCs w:val="24"/>
                <w:lang w:val="en-US" w:eastAsia="zh-CN"/>
              </w:rPr>
            </w:pPr>
          </w:p>
          <w:p w14:paraId="682D5A9D">
            <w:pPr>
              <w:bidi w:val="0"/>
              <w:spacing w:line="360" w:lineRule="auto"/>
              <w:ind w:firstLine="480" w:firstLineChars="200"/>
              <w:rPr>
                <w:rFonts w:hint="default" w:ascii="Times New Roman" w:hAnsi="Times New Roman" w:cs="Times New Roman"/>
                <w:color w:val="auto"/>
                <w:sz w:val="24"/>
                <w:szCs w:val="24"/>
                <w:lang w:val="en-US" w:eastAsia="zh-CN"/>
              </w:rPr>
            </w:pPr>
          </w:p>
          <w:p w14:paraId="0444CA81">
            <w:pPr>
              <w:bidi w:val="0"/>
              <w:spacing w:line="360" w:lineRule="auto"/>
              <w:ind w:firstLine="480" w:firstLineChars="200"/>
              <w:rPr>
                <w:rFonts w:hint="default" w:ascii="Times New Roman" w:hAnsi="Times New Roman" w:cs="Times New Roman"/>
                <w:color w:val="auto"/>
                <w:sz w:val="24"/>
                <w:szCs w:val="24"/>
                <w:lang w:val="en-US" w:eastAsia="zh-CN"/>
              </w:rPr>
            </w:pPr>
          </w:p>
          <w:p w14:paraId="5C617A12">
            <w:pPr>
              <w:bidi w:val="0"/>
              <w:spacing w:line="360" w:lineRule="auto"/>
              <w:ind w:firstLine="480" w:firstLineChars="200"/>
              <w:rPr>
                <w:rFonts w:hint="default" w:ascii="Times New Roman" w:hAnsi="Times New Roman" w:cs="Times New Roman"/>
                <w:color w:val="auto"/>
                <w:sz w:val="24"/>
                <w:szCs w:val="24"/>
                <w:lang w:val="en-US" w:eastAsia="zh-CN"/>
              </w:rPr>
            </w:pPr>
          </w:p>
          <w:p w14:paraId="20A5F675">
            <w:pPr>
              <w:bidi w:val="0"/>
              <w:spacing w:line="360" w:lineRule="auto"/>
              <w:ind w:firstLine="480" w:firstLineChars="200"/>
              <w:rPr>
                <w:rFonts w:hint="default" w:ascii="Times New Roman" w:hAnsi="Times New Roman" w:cs="Times New Roman"/>
                <w:color w:val="auto"/>
                <w:sz w:val="24"/>
                <w:szCs w:val="24"/>
                <w:lang w:val="en-US" w:eastAsia="zh-CN"/>
              </w:rPr>
            </w:pPr>
          </w:p>
          <w:p w14:paraId="47A0186B">
            <w:pPr>
              <w:bidi w:val="0"/>
              <w:spacing w:line="360" w:lineRule="auto"/>
              <w:ind w:firstLine="480" w:firstLineChars="200"/>
              <w:rPr>
                <w:rFonts w:hint="default" w:ascii="Times New Roman" w:hAnsi="Times New Roman" w:cs="Times New Roman"/>
                <w:color w:val="auto"/>
                <w:sz w:val="24"/>
                <w:szCs w:val="24"/>
                <w:lang w:val="en-US" w:eastAsia="zh-CN"/>
              </w:rPr>
            </w:pPr>
          </w:p>
          <w:p w14:paraId="28F1F862">
            <w:pPr>
              <w:bidi w:val="0"/>
              <w:spacing w:line="360" w:lineRule="auto"/>
              <w:ind w:firstLine="480" w:firstLineChars="200"/>
              <w:rPr>
                <w:rFonts w:hint="default" w:ascii="Times New Roman" w:hAnsi="Times New Roman" w:cs="Times New Roman"/>
                <w:color w:val="auto"/>
                <w:sz w:val="24"/>
                <w:szCs w:val="24"/>
                <w:lang w:val="en-US" w:eastAsia="zh-CN"/>
              </w:rPr>
            </w:pPr>
          </w:p>
          <w:p w14:paraId="480168D6">
            <w:pPr>
              <w:bidi w:val="0"/>
              <w:spacing w:line="360" w:lineRule="auto"/>
              <w:ind w:firstLine="480" w:firstLineChars="200"/>
              <w:rPr>
                <w:rFonts w:hint="default" w:ascii="Times New Roman" w:hAnsi="Times New Roman" w:cs="Times New Roman"/>
                <w:color w:val="auto"/>
                <w:sz w:val="24"/>
                <w:szCs w:val="24"/>
                <w:lang w:val="en-US" w:eastAsia="zh-CN"/>
              </w:rPr>
            </w:pPr>
          </w:p>
          <w:p w14:paraId="5411E02F">
            <w:pPr>
              <w:bidi w:val="0"/>
              <w:spacing w:line="360" w:lineRule="auto"/>
              <w:ind w:firstLine="480" w:firstLineChars="200"/>
              <w:rPr>
                <w:rFonts w:hint="default" w:ascii="Times New Roman" w:hAnsi="Times New Roman" w:cs="Times New Roman"/>
                <w:color w:val="auto"/>
                <w:sz w:val="24"/>
                <w:szCs w:val="24"/>
                <w:lang w:val="en-US" w:eastAsia="zh-CN"/>
              </w:rPr>
            </w:pPr>
          </w:p>
          <w:p w14:paraId="34D1AAA3">
            <w:pPr>
              <w:bidi w:val="0"/>
              <w:spacing w:line="360" w:lineRule="auto"/>
              <w:ind w:firstLine="480" w:firstLineChars="200"/>
              <w:rPr>
                <w:rFonts w:hint="default" w:ascii="Times New Roman" w:hAnsi="Times New Roman" w:cs="Times New Roman"/>
                <w:color w:val="auto"/>
                <w:sz w:val="24"/>
                <w:szCs w:val="24"/>
                <w:lang w:val="en-US" w:eastAsia="zh-CN"/>
              </w:rPr>
            </w:pPr>
          </w:p>
          <w:p w14:paraId="0382C069">
            <w:pPr>
              <w:bidi w:val="0"/>
              <w:spacing w:line="360" w:lineRule="auto"/>
              <w:ind w:firstLine="480" w:firstLineChars="200"/>
              <w:rPr>
                <w:rFonts w:hint="default" w:ascii="Times New Roman" w:hAnsi="Times New Roman" w:cs="Times New Roman"/>
                <w:color w:val="auto"/>
                <w:sz w:val="24"/>
                <w:szCs w:val="24"/>
                <w:lang w:val="en-US" w:eastAsia="zh-CN"/>
              </w:rPr>
            </w:pPr>
          </w:p>
          <w:p w14:paraId="6B71321F">
            <w:pPr>
              <w:bidi w:val="0"/>
              <w:spacing w:line="360" w:lineRule="auto"/>
              <w:ind w:firstLine="480" w:firstLineChars="200"/>
              <w:rPr>
                <w:rFonts w:hint="default" w:ascii="Times New Roman" w:hAnsi="Times New Roman" w:cs="Times New Roman"/>
                <w:color w:val="auto"/>
                <w:sz w:val="24"/>
                <w:szCs w:val="24"/>
                <w:lang w:val="en-US" w:eastAsia="zh-CN"/>
              </w:rPr>
            </w:pPr>
          </w:p>
          <w:p w14:paraId="4105CD1D">
            <w:pPr>
              <w:bidi w:val="0"/>
              <w:spacing w:line="360" w:lineRule="auto"/>
              <w:ind w:firstLine="480" w:firstLineChars="200"/>
              <w:rPr>
                <w:rFonts w:hint="default" w:ascii="Times New Roman" w:hAnsi="Times New Roman" w:cs="Times New Roman"/>
                <w:color w:val="auto"/>
                <w:sz w:val="24"/>
                <w:szCs w:val="24"/>
                <w:lang w:val="en-US" w:eastAsia="zh-CN"/>
              </w:rPr>
            </w:pPr>
          </w:p>
          <w:p w14:paraId="593F0840">
            <w:pPr>
              <w:bidi w:val="0"/>
              <w:spacing w:line="360" w:lineRule="auto"/>
              <w:ind w:firstLine="480" w:firstLineChars="200"/>
              <w:rPr>
                <w:rFonts w:hint="default" w:ascii="Times New Roman" w:hAnsi="Times New Roman" w:cs="Times New Roman"/>
                <w:color w:val="auto"/>
                <w:sz w:val="24"/>
                <w:szCs w:val="24"/>
                <w:lang w:val="en-US" w:eastAsia="zh-CN"/>
              </w:rPr>
            </w:pPr>
          </w:p>
          <w:p w14:paraId="1EAA912F">
            <w:pPr>
              <w:bidi w:val="0"/>
              <w:spacing w:line="360" w:lineRule="auto"/>
              <w:ind w:firstLine="480" w:firstLineChars="200"/>
              <w:rPr>
                <w:rFonts w:hint="default" w:ascii="Times New Roman" w:hAnsi="Times New Roman" w:cs="Times New Roman"/>
                <w:color w:val="auto"/>
                <w:sz w:val="24"/>
                <w:szCs w:val="24"/>
                <w:lang w:val="en-US" w:eastAsia="zh-CN"/>
              </w:rPr>
            </w:pPr>
          </w:p>
          <w:p w14:paraId="60706A6C">
            <w:pPr>
              <w:bidi w:val="0"/>
              <w:spacing w:line="360" w:lineRule="auto"/>
              <w:ind w:firstLine="480" w:firstLineChars="200"/>
              <w:rPr>
                <w:rFonts w:hint="default" w:ascii="Times New Roman" w:hAnsi="Times New Roman" w:cs="Times New Roman"/>
                <w:color w:val="auto"/>
                <w:sz w:val="24"/>
                <w:szCs w:val="24"/>
                <w:lang w:val="en-US" w:eastAsia="zh-CN"/>
              </w:rPr>
            </w:pPr>
          </w:p>
          <w:p w14:paraId="6B092533">
            <w:pPr>
              <w:bidi w:val="0"/>
              <w:spacing w:line="360" w:lineRule="auto"/>
              <w:ind w:firstLine="480" w:firstLineChars="200"/>
              <w:rPr>
                <w:rFonts w:hint="default" w:ascii="Times New Roman" w:hAnsi="Times New Roman" w:cs="Times New Roman"/>
                <w:color w:val="auto"/>
                <w:sz w:val="24"/>
                <w:szCs w:val="24"/>
                <w:lang w:val="en-US" w:eastAsia="zh-CN"/>
              </w:rPr>
            </w:pPr>
          </w:p>
          <w:p w14:paraId="7FF5A7D0">
            <w:pPr>
              <w:bidi w:val="0"/>
              <w:spacing w:line="360" w:lineRule="auto"/>
              <w:ind w:firstLine="480" w:firstLineChars="200"/>
              <w:rPr>
                <w:rFonts w:hint="default" w:ascii="Times New Roman" w:hAnsi="Times New Roman" w:cs="Times New Roman"/>
                <w:color w:val="auto"/>
                <w:sz w:val="24"/>
                <w:szCs w:val="24"/>
                <w:lang w:val="en-US" w:eastAsia="zh-CN"/>
              </w:rPr>
            </w:pPr>
          </w:p>
          <w:p w14:paraId="7DF62063">
            <w:pPr>
              <w:bidi w:val="0"/>
              <w:spacing w:line="360" w:lineRule="auto"/>
              <w:ind w:firstLine="480" w:firstLineChars="200"/>
              <w:rPr>
                <w:rFonts w:hint="default" w:ascii="Times New Roman" w:hAnsi="Times New Roman" w:cs="Times New Roman"/>
                <w:color w:val="auto"/>
                <w:sz w:val="24"/>
                <w:szCs w:val="24"/>
                <w:lang w:val="en-US" w:eastAsia="zh-CN"/>
              </w:rPr>
            </w:pPr>
          </w:p>
          <w:p w14:paraId="4DB74239">
            <w:pPr>
              <w:bidi w:val="0"/>
              <w:spacing w:line="360" w:lineRule="auto"/>
              <w:ind w:firstLine="480" w:firstLineChars="200"/>
              <w:rPr>
                <w:rFonts w:hint="default" w:ascii="Times New Roman" w:hAnsi="Times New Roman" w:cs="Times New Roman"/>
                <w:color w:val="auto"/>
                <w:sz w:val="24"/>
                <w:szCs w:val="24"/>
                <w:lang w:val="en-US" w:eastAsia="zh-CN"/>
              </w:rPr>
            </w:pPr>
          </w:p>
          <w:p w14:paraId="49E40F99">
            <w:pPr>
              <w:bidi w:val="0"/>
              <w:spacing w:line="360" w:lineRule="auto"/>
              <w:ind w:firstLine="480" w:firstLineChars="200"/>
              <w:rPr>
                <w:rFonts w:hint="default" w:ascii="Times New Roman" w:hAnsi="Times New Roman" w:cs="Times New Roman"/>
                <w:color w:val="auto"/>
                <w:sz w:val="24"/>
                <w:szCs w:val="24"/>
                <w:lang w:val="en-US" w:eastAsia="zh-CN"/>
              </w:rPr>
            </w:pPr>
          </w:p>
          <w:p w14:paraId="630A54E3">
            <w:pPr>
              <w:bidi w:val="0"/>
              <w:spacing w:line="360" w:lineRule="auto"/>
              <w:ind w:firstLine="480" w:firstLineChars="200"/>
              <w:rPr>
                <w:rFonts w:hint="default" w:ascii="Times New Roman" w:hAnsi="Times New Roman" w:cs="Times New Roman"/>
                <w:color w:val="auto"/>
                <w:sz w:val="24"/>
                <w:szCs w:val="24"/>
                <w:lang w:val="en-US" w:eastAsia="zh-CN"/>
              </w:rPr>
            </w:pPr>
          </w:p>
        </w:tc>
      </w:tr>
    </w:tbl>
    <w:p w14:paraId="3C744172">
      <w:pPr>
        <w:bidi w:val="0"/>
        <w:jc w:val="center"/>
        <w:rPr>
          <w:rFonts w:hint="eastAsia"/>
          <w:color w:val="auto"/>
          <w:sz w:val="30"/>
          <w:szCs w:val="30"/>
        </w:rPr>
        <w:sectPr>
          <w:pgSz w:w="11906" w:h="16838"/>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046E419">
      <w:pPr>
        <w:pStyle w:val="16"/>
        <w:adjustRightInd w:val="0"/>
        <w:snapToGrid w:val="0"/>
        <w:spacing w:before="0" w:beforeAutospacing="0" w:after="0" w:afterAutospacing="0" w:line="24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20ED5844">
      <w:pPr>
        <w:pStyle w:val="16"/>
        <w:adjustRightInd w:val="0"/>
        <w:snapToGrid w:val="0"/>
        <w:spacing w:before="0" w:beforeAutospacing="0" w:after="0" w:afterAutospacing="0" w:line="240" w:lineRule="auto"/>
        <w:jc w:val="center"/>
        <w:outlineLvl w:val="0"/>
        <w:rPr>
          <w:rFonts w:hint="eastAsia" w:ascii="方正小标宋_GBK" w:hAnsi="黑体" w:eastAsia="方正小标宋_GBK"/>
          <w:snapToGrid w:val="0"/>
          <w:color w:val="auto"/>
          <w:sz w:val="36"/>
          <w:szCs w:val="36"/>
        </w:rPr>
      </w:pPr>
      <w:r>
        <w:rPr>
          <w:rFonts w:hint="eastAsia" w:ascii="方正小标宋_GBK" w:hAnsi="黑体" w:eastAsia="方正小标宋_GBK"/>
          <w:snapToGrid w:val="0"/>
          <w:color w:val="auto"/>
          <w:sz w:val="36"/>
          <w:szCs w:val="36"/>
        </w:rPr>
        <w:t>建设项目污染物排放量汇总表</w:t>
      </w:r>
    </w:p>
    <w:tbl>
      <w:tblPr>
        <w:tblStyle w:val="19"/>
        <w:tblW w:w="499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1653"/>
        <w:gridCol w:w="1770"/>
        <w:gridCol w:w="1319"/>
        <w:gridCol w:w="1770"/>
        <w:gridCol w:w="1620"/>
        <w:gridCol w:w="1834"/>
        <w:gridCol w:w="1910"/>
        <w:gridCol w:w="1266"/>
      </w:tblGrid>
      <w:tr w14:paraId="0E82D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01" w:type="pct"/>
            <w:tcBorders>
              <w:tl2br w:val="single" w:color="auto" w:sz="4" w:space="0"/>
            </w:tcBorders>
            <w:noWrap w:val="0"/>
            <w:tcMar>
              <w:left w:w="28" w:type="dxa"/>
              <w:right w:w="28" w:type="dxa"/>
            </w:tcMar>
            <w:vAlign w:val="center"/>
          </w:tcPr>
          <w:p w14:paraId="31BF3A8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项目</w:t>
            </w:r>
          </w:p>
          <w:p w14:paraId="13E11379">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分类</w:t>
            </w:r>
          </w:p>
        </w:tc>
        <w:tc>
          <w:tcPr>
            <w:tcW w:w="565" w:type="pct"/>
            <w:noWrap w:val="0"/>
            <w:tcMar>
              <w:left w:w="28" w:type="dxa"/>
              <w:right w:w="28" w:type="dxa"/>
            </w:tcMar>
            <w:vAlign w:val="center"/>
          </w:tcPr>
          <w:p w14:paraId="47FD84B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污染物名称</w:t>
            </w:r>
          </w:p>
        </w:tc>
        <w:tc>
          <w:tcPr>
            <w:tcW w:w="605" w:type="pct"/>
            <w:noWrap w:val="0"/>
            <w:tcMar>
              <w:left w:w="28" w:type="dxa"/>
              <w:right w:w="28" w:type="dxa"/>
            </w:tcMar>
            <w:vAlign w:val="center"/>
          </w:tcPr>
          <w:p w14:paraId="5F4D98C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现有工程</w:t>
            </w:r>
          </w:p>
          <w:p w14:paraId="656EFEC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排放量（固体废物产生量）</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1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①</w:t>
            </w:r>
            <w:r>
              <w:rPr>
                <w:rFonts w:hint="default" w:ascii="Times New Roman" w:hAnsi="Times New Roman" w:cs="Times New Roman"/>
                <w:color w:val="auto"/>
                <w:sz w:val="24"/>
                <w:szCs w:val="24"/>
                <w:lang w:val="en-US" w:eastAsia="zh-CN"/>
              </w:rPr>
              <w:fldChar w:fldCharType="end"/>
            </w:r>
          </w:p>
        </w:tc>
        <w:tc>
          <w:tcPr>
            <w:tcW w:w="451" w:type="pct"/>
            <w:noWrap w:val="0"/>
            <w:tcMar>
              <w:left w:w="28" w:type="dxa"/>
              <w:right w:w="28" w:type="dxa"/>
            </w:tcMar>
            <w:vAlign w:val="center"/>
          </w:tcPr>
          <w:p w14:paraId="5CBD0394">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现有工程</w:t>
            </w:r>
          </w:p>
          <w:p w14:paraId="12919EB3">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许可排放量</w:t>
            </w:r>
          </w:p>
          <w:p w14:paraId="1CB1DBE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2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②</w:t>
            </w:r>
            <w:r>
              <w:rPr>
                <w:rFonts w:hint="default" w:ascii="Times New Roman" w:hAnsi="Times New Roman" w:cs="Times New Roman"/>
                <w:color w:val="auto"/>
                <w:sz w:val="24"/>
                <w:szCs w:val="24"/>
                <w:lang w:val="en-US" w:eastAsia="zh-CN"/>
              </w:rPr>
              <w:fldChar w:fldCharType="end"/>
            </w:r>
          </w:p>
        </w:tc>
        <w:tc>
          <w:tcPr>
            <w:tcW w:w="605" w:type="pct"/>
            <w:noWrap w:val="0"/>
            <w:tcMar>
              <w:left w:w="28" w:type="dxa"/>
              <w:right w:w="28" w:type="dxa"/>
            </w:tcMar>
            <w:vAlign w:val="center"/>
          </w:tcPr>
          <w:p w14:paraId="5120346E">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在建工程</w:t>
            </w:r>
          </w:p>
          <w:p w14:paraId="672FA9E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排放量（固体废物产生量）</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3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③</w:t>
            </w:r>
            <w:r>
              <w:rPr>
                <w:rFonts w:hint="default" w:ascii="Times New Roman" w:hAnsi="Times New Roman" w:cs="Times New Roman"/>
                <w:color w:val="auto"/>
                <w:sz w:val="24"/>
                <w:szCs w:val="24"/>
                <w:lang w:val="en-US" w:eastAsia="zh-CN"/>
              </w:rPr>
              <w:fldChar w:fldCharType="end"/>
            </w:r>
          </w:p>
        </w:tc>
        <w:tc>
          <w:tcPr>
            <w:tcW w:w="554" w:type="pct"/>
            <w:noWrap w:val="0"/>
            <w:tcMar>
              <w:left w:w="28" w:type="dxa"/>
              <w:right w:w="28" w:type="dxa"/>
            </w:tcMar>
            <w:vAlign w:val="center"/>
          </w:tcPr>
          <w:p w14:paraId="14FDED2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w:t>
            </w:r>
          </w:p>
          <w:p w14:paraId="7A18C9C7">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排放量（固体废物产生量）</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4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④</w:t>
            </w:r>
            <w:r>
              <w:rPr>
                <w:rFonts w:hint="default" w:ascii="Times New Roman" w:hAnsi="Times New Roman" w:cs="Times New Roman"/>
                <w:color w:val="auto"/>
                <w:sz w:val="24"/>
                <w:szCs w:val="24"/>
                <w:lang w:val="en-US" w:eastAsia="zh-CN"/>
              </w:rPr>
              <w:fldChar w:fldCharType="end"/>
            </w:r>
          </w:p>
        </w:tc>
        <w:tc>
          <w:tcPr>
            <w:tcW w:w="627" w:type="pct"/>
            <w:noWrap w:val="0"/>
            <w:tcMar>
              <w:left w:w="28" w:type="dxa"/>
              <w:right w:w="28" w:type="dxa"/>
            </w:tcMar>
            <w:vAlign w:val="center"/>
          </w:tcPr>
          <w:p w14:paraId="4D27F6A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以新带老削减量</w:t>
            </w:r>
          </w:p>
          <w:p w14:paraId="636747A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（新建项目不填）</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5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⑤</w:t>
            </w:r>
            <w:r>
              <w:rPr>
                <w:rFonts w:hint="default" w:ascii="Times New Roman" w:hAnsi="Times New Roman" w:cs="Times New Roman"/>
                <w:color w:val="auto"/>
                <w:sz w:val="24"/>
                <w:szCs w:val="24"/>
                <w:lang w:val="en-US" w:eastAsia="zh-CN"/>
              </w:rPr>
              <w:fldChar w:fldCharType="end"/>
            </w:r>
          </w:p>
        </w:tc>
        <w:tc>
          <w:tcPr>
            <w:tcW w:w="653" w:type="pct"/>
            <w:noWrap w:val="0"/>
            <w:tcMar>
              <w:left w:w="28" w:type="dxa"/>
              <w:right w:w="28" w:type="dxa"/>
            </w:tcMar>
            <w:vAlign w:val="center"/>
          </w:tcPr>
          <w:p w14:paraId="546E46AF">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本项目建成后</w:t>
            </w:r>
          </w:p>
          <w:p w14:paraId="7D7B547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全厂排放量（固体废物产生量）</w:t>
            </w: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6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⑥</w:t>
            </w:r>
            <w:r>
              <w:rPr>
                <w:rFonts w:hint="default" w:ascii="Times New Roman" w:hAnsi="Times New Roman" w:cs="Times New Roman"/>
                <w:color w:val="auto"/>
                <w:sz w:val="24"/>
                <w:szCs w:val="24"/>
                <w:lang w:val="en-US" w:eastAsia="zh-CN"/>
              </w:rPr>
              <w:fldChar w:fldCharType="end"/>
            </w:r>
          </w:p>
        </w:tc>
        <w:tc>
          <w:tcPr>
            <w:tcW w:w="433" w:type="pct"/>
            <w:noWrap w:val="0"/>
            <w:tcMar>
              <w:left w:w="28" w:type="dxa"/>
              <w:right w:w="28" w:type="dxa"/>
            </w:tcMar>
            <w:vAlign w:val="center"/>
          </w:tcPr>
          <w:p w14:paraId="0F533198">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变化量</w:t>
            </w:r>
          </w:p>
          <w:p w14:paraId="74410C91">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7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lang w:val="en-US" w:eastAsia="zh-CN"/>
              </w:rPr>
              <w:t>⑦</w:t>
            </w:r>
            <w:r>
              <w:rPr>
                <w:rFonts w:hint="default" w:ascii="Times New Roman" w:hAnsi="Times New Roman" w:cs="Times New Roman"/>
                <w:color w:val="auto"/>
                <w:sz w:val="24"/>
                <w:szCs w:val="24"/>
                <w:lang w:val="en-US" w:eastAsia="zh-CN"/>
              </w:rPr>
              <w:fldChar w:fldCharType="end"/>
            </w:r>
          </w:p>
        </w:tc>
      </w:tr>
      <w:tr w14:paraId="221D7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01" w:type="pct"/>
            <w:noWrap w:val="0"/>
            <w:vAlign w:val="center"/>
          </w:tcPr>
          <w:p w14:paraId="4EDCE017">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w:t>
            </w:r>
          </w:p>
        </w:tc>
        <w:tc>
          <w:tcPr>
            <w:tcW w:w="565" w:type="pct"/>
            <w:noWrap w:val="0"/>
            <w:vAlign w:val="center"/>
          </w:tcPr>
          <w:p w14:paraId="60764E2E">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default" w:ascii="Times New Roman" w:hAnsi="Times New Roman" w:eastAsia="宋体" w:cs="Times New Roman"/>
                <w:color w:val="auto"/>
                <w:kern w:val="0"/>
                <w:szCs w:val="21"/>
              </w:rPr>
              <w:t>非甲烷总烃</w:t>
            </w:r>
          </w:p>
        </w:tc>
        <w:tc>
          <w:tcPr>
            <w:tcW w:w="605" w:type="pct"/>
            <w:noWrap w:val="0"/>
            <w:vAlign w:val="center"/>
          </w:tcPr>
          <w:p w14:paraId="3511F8D8">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43C13B19">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5E284854">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4C76C9FA">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0.4564</w:t>
            </w:r>
          </w:p>
        </w:tc>
        <w:tc>
          <w:tcPr>
            <w:tcW w:w="627" w:type="pct"/>
            <w:noWrap w:val="0"/>
            <w:vAlign w:val="center"/>
          </w:tcPr>
          <w:p w14:paraId="2FF68DE0">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p>
        </w:tc>
        <w:tc>
          <w:tcPr>
            <w:tcW w:w="653" w:type="pct"/>
            <w:noWrap w:val="0"/>
            <w:vAlign w:val="center"/>
          </w:tcPr>
          <w:p w14:paraId="399CA238">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p>
        </w:tc>
        <w:tc>
          <w:tcPr>
            <w:tcW w:w="1266" w:type="dxa"/>
            <w:noWrap w:val="0"/>
            <w:vAlign w:val="center"/>
          </w:tcPr>
          <w:p w14:paraId="7576FCE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+0.4564</w:t>
            </w:r>
          </w:p>
        </w:tc>
      </w:tr>
      <w:tr w14:paraId="5A778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1" w:type="pct"/>
            <w:vMerge w:val="restart"/>
            <w:noWrap w:val="0"/>
            <w:vAlign w:val="center"/>
          </w:tcPr>
          <w:p w14:paraId="037376C7">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废水</w:t>
            </w:r>
          </w:p>
        </w:tc>
        <w:tc>
          <w:tcPr>
            <w:tcW w:w="565" w:type="pct"/>
            <w:noWrap w:val="0"/>
            <w:vAlign w:val="center"/>
          </w:tcPr>
          <w:p w14:paraId="46E61898">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COD</w:t>
            </w:r>
          </w:p>
        </w:tc>
        <w:tc>
          <w:tcPr>
            <w:tcW w:w="605" w:type="pct"/>
            <w:noWrap w:val="0"/>
            <w:vAlign w:val="center"/>
          </w:tcPr>
          <w:p w14:paraId="7A7B87E8">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4481ADD4">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6120D165">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2DFC533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0.081</w:t>
            </w:r>
          </w:p>
        </w:tc>
        <w:tc>
          <w:tcPr>
            <w:tcW w:w="627" w:type="pct"/>
            <w:noWrap w:val="0"/>
            <w:vAlign w:val="center"/>
          </w:tcPr>
          <w:p w14:paraId="72D5A8A6">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p>
        </w:tc>
        <w:tc>
          <w:tcPr>
            <w:tcW w:w="653" w:type="pct"/>
            <w:noWrap w:val="0"/>
            <w:vAlign w:val="center"/>
          </w:tcPr>
          <w:p w14:paraId="3A0CB0C2">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4102DB25">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0.081</w:t>
            </w:r>
          </w:p>
        </w:tc>
      </w:tr>
      <w:tr w14:paraId="65DFB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501" w:type="pct"/>
            <w:vMerge w:val="continue"/>
            <w:noWrap w:val="0"/>
            <w:vAlign w:val="center"/>
          </w:tcPr>
          <w:p w14:paraId="19734522">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p>
        </w:tc>
        <w:tc>
          <w:tcPr>
            <w:tcW w:w="565" w:type="pct"/>
            <w:noWrap w:val="0"/>
            <w:vAlign w:val="center"/>
          </w:tcPr>
          <w:p w14:paraId="1631607E">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p>
        </w:tc>
        <w:tc>
          <w:tcPr>
            <w:tcW w:w="605" w:type="pct"/>
            <w:noWrap w:val="0"/>
            <w:vAlign w:val="center"/>
          </w:tcPr>
          <w:p w14:paraId="2254D97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20025EDC">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39550864">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5847DDC9">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0.0081</w:t>
            </w:r>
          </w:p>
        </w:tc>
        <w:tc>
          <w:tcPr>
            <w:tcW w:w="627" w:type="pct"/>
            <w:noWrap w:val="0"/>
            <w:vAlign w:val="center"/>
          </w:tcPr>
          <w:p w14:paraId="6ACE90CC">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p>
        </w:tc>
        <w:tc>
          <w:tcPr>
            <w:tcW w:w="653" w:type="pct"/>
            <w:noWrap w:val="0"/>
            <w:vAlign w:val="center"/>
          </w:tcPr>
          <w:p w14:paraId="4FB34070">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116A1916">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0.0081</w:t>
            </w:r>
          </w:p>
        </w:tc>
      </w:tr>
      <w:tr w14:paraId="78792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1" w:type="pct"/>
            <w:vMerge w:val="restart"/>
            <w:noWrap w:val="0"/>
            <w:vAlign w:val="center"/>
          </w:tcPr>
          <w:p w14:paraId="7B738982">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一般工业</w:t>
            </w:r>
          </w:p>
          <w:p w14:paraId="15D039D9">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固体废物</w:t>
            </w:r>
          </w:p>
        </w:tc>
        <w:tc>
          <w:tcPr>
            <w:tcW w:w="565" w:type="pct"/>
            <w:noWrap w:val="0"/>
            <w:vAlign w:val="center"/>
          </w:tcPr>
          <w:p w14:paraId="2B971E0D">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default" w:ascii="Times New Roman" w:hAnsi="Times New Roman" w:cs="Times New Roman"/>
                <w:color w:val="auto"/>
                <w:sz w:val="24"/>
                <w:szCs w:val="24"/>
                <w:lang w:eastAsia="zh-CN"/>
              </w:rPr>
              <w:t>边角料</w:t>
            </w:r>
          </w:p>
        </w:tc>
        <w:tc>
          <w:tcPr>
            <w:tcW w:w="605" w:type="pct"/>
            <w:noWrap w:val="0"/>
            <w:vAlign w:val="center"/>
          </w:tcPr>
          <w:p w14:paraId="465A1E4A">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5018BDD7">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13E7F3DE">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13EA8446">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64</w:t>
            </w:r>
          </w:p>
        </w:tc>
        <w:tc>
          <w:tcPr>
            <w:tcW w:w="627" w:type="pct"/>
            <w:noWrap w:val="0"/>
            <w:vAlign w:val="center"/>
          </w:tcPr>
          <w:p w14:paraId="3CAD6A4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p>
        </w:tc>
        <w:tc>
          <w:tcPr>
            <w:tcW w:w="653" w:type="pct"/>
            <w:noWrap w:val="0"/>
            <w:vAlign w:val="center"/>
          </w:tcPr>
          <w:p w14:paraId="4C124E6C">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p>
        </w:tc>
        <w:tc>
          <w:tcPr>
            <w:tcW w:w="1266" w:type="dxa"/>
            <w:noWrap w:val="0"/>
            <w:vAlign w:val="center"/>
          </w:tcPr>
          <w:p w14:paraId="3399C250">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64</w:t>
            </w:r>
          </w:p>
        </w:tc>
      </w:tr>
      <w:tr w14:paraId="1722C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1" w:type="pct"/>
            <w:vMerge w:val="continue"/>
            <w:noWrap w:val="0"/>
            <w:vAlign w:val="center"/>
          </w:tcPr>
          <w:p w14:paraId="30C7C193">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p>
        </w:tc>
        <w:tc>
          <w:tcPr>
            <w:tcW w:w="565" w:type="pct"/>
            <w:noWrap w:val="0"/>
            <w:vAlign w:val="center"/>
          </w:tcPr>
          <w:p w14:paraId="0CC76712">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snapToGrid w:val="0"/>
                <w:color w:val="auto"/>
                <w:kern w:val="21"/>
                <w:sz w:val="24"/>
                <w:szCs w:val="24"/>
                <w:lang w:val="en-US" w:eastAsia="zh-CN" w:bidi="ar-SA"/>
              </w:rPr>
            </w:pPr>
            <w:r>
              <w:rPr>
                <w:rFonts w:hint="default" w:ascii="Times New Roman" w:hAnsi="Times New Roman" w:cs="Times New Roman"/>
                <w:color w:val="auto"/>
                <w:sz w:val="24"/>
                <w:szCs w:val="24"/>
                <w:lang w:eastAsia="zh-CN"/>
              </w:rPr>
              <w:t>玻璃渣</w:t>
            </w:r>
          </w:p>
        </w:tc>
        <w:tc>
          <w:tcPr>
            <w:tcW w:w="605" w:type="pct"/>
            <w:noWrap w:val="0"/>
            <w:vAlign w:val="center"/>
          </w:tcPr>
          <w:p w14:paraId="7B03622B">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582D4E7B">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1FCC0DC5">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4003171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12.8</w:t>
            </w:r>
          </w:p>
        </w:tc>
        <w:tc>
          <w:tcPr>
            <w:tcW w:w="627" w:type="pct"/>
            <w:noWrap w:val="0"/>
            <w:vAlign w:val="center"/>
          </w:tcPr>
          <w:p w14:paraId="7CC33F69">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653" w:type="pct"/>
            <w:noWrap w:val="0"/>
            <w:vAlign w:val="center"/>
          </w:tcPr>
          <w:p w14:paraId="733E5297">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6C38BBED">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+12.8</w:t>
            </w:r>
          </w:p>
        </w:tc>
      </w:tr>
      <w:tr w14:paraId="14BE1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1" w:type="pct"/>
            <w:vMerge w:val="continue"/>
            <w:noWrap w:val="0"/>
            <w:vAlign w:val="center"/>
          </w:tcPr>
          <w:p w14:paraId="2F2311FD">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p>
        </w:tc>
        <w:tc>
          <w:tcPr>
            <w:tcW w:w="565" w:type="pct"/>
            <w:noWrap w:val="0"/>
            <w:vAlign w:val="center"/>
          </w:tcPr>
          <w:p w14:paraId="317C71F0">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宋体" w:cs="Times New Roman"/>
                <w:snapToGrid w:val="0"/>
                <w:color w:val="auto"/>
                <w:kern w:val="21"/>
                <w:sz w:val="24"/>
                <w:szCs w:val="24"/>
                <w:lang w:val="en-US" w:eastAsia="zh-CN" w:bidi="ar-SA"/>
              </w:rPr>
            </w:pPr>
            <w:r>
              <w:rPr>
                <w:rFonts w:hint="default" w:ascii="Times New Roman" w:hAnsi="Times New Roman" w:cs="Times New Roman"/>
                <w:color w:val="auto"/>
                <w:sz w:val="24"/>
                <w:szCs w:val="24"/>
                <w:lang w:val="en-US" w:eastAsia="zh-CN"/>
              </w:rPr>
              <w:t>沉淀渣</w:t>
            </w:r>
          </w:p>
        </w:tc>
        <w:tc>
          <w:tcPr>
            <w:tcW w:w="605" w:type="pct"/>
            <w:noWrap w:val="0"/>
            <w:vAlign w:val="center"/>
          </w:tcPr>
          <w:p w14:paraId="4019A404">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1D018C8A">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63CEB9E9">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158E2846">
            <w:pPr>
              <w:pStyle w:val="49"/>
              <w:keepNext w:val="0"/>
              <w:keepLines w:val="0"/>
              <w:pageBreakBefore w:val="0"/>
              <w:kinsoku/>
              <w:wordWrap/>
              <w:overflowPunct/>
              <w:autoSpaceDE/>
              <w:autoSpaceDN/>
              <w:bidi w:val="0"/>
              <w:snapToGrid w:val="0"/>
              <w:spacing w:line="240" w:lineRule="exact"/>
              <w:ind w:right="113" w:rightChars="0"/>
              <w:textAlignment w:val="auto"/>
              <w:rPr>
                <w:rFonts w:hint="default" w:cs="Times New Roman"/>
                <w:color w:val="auto"/>
                <w:sz w:val="24"/>
                <w:szCs w:val="24"/>
                <w:lang w:val="en-US" w:eastAsia="zh-CN"/>
              </w:rPr>
            </w:pPr>
            <w:r>
              <w:rPr>
                <w:rFonts w:hint="eastAsia" w:cs="Times New Roman"/>
                <w:color w:val="auto"/>
                <w:sz w:val="24"/>
                <w:szCs w:val="24"/>
                <w:lang w:val="en-US" w:eastAsia="zh-CN"/>
              </w:rPr>
              <w:t>3.2</w:t>
            </w:r>
          </w:p>
        </w:tc>
        <w:tc>
          <w:tcPr>
            <w:tcW w:w="627" w:type="pct"/>
            <w:noWrap w:val="0"/>
            <w:vAlign w:val="center"/>
          </w:tcPr>
          <w:p w14:paraId="3C5351DB">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653" w:type="pct"/>
            <w:noWrap w:val="0"/>
            <w:vAlign w:val="center"/>
          </w:tcPr>
          <w:p w14:paraId="1EDD9695">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0AB14D50">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3.2</w:t>
            </w:r>
          </w:p>
        </w:tc>
      </w:tr>
      <w:tr w14:paraId="3CEA7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1" w:type="pct"/>
            <w:vMerge w:val="continue"/>
            <w:noWrap w:val="0"/>
            <w:vAlign w:val="center"/>
          </w:tcPr>
          <w:p w14:paraId="537AEF56">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p>
        </w:tc>
        <w:tc>
          <w:tcPr>
            <w:tcW w:w="565" w:type="pct"/>
            <w:noWrap w:val="0"/>
            <w:vAlign w:val="center"/>
          </w:tcPr>
          <w:p w14:paraId="30DF7B4A">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废包装</w:t>
            </w:r>
          </w:p>
        </w:tc>
        <w:tc>
          <w:tcPr>
            <w:tcW w:w="605" w:type="pct"/>
            <w:noWrap w:val="0"/>
            <w:vAlign w:val="center"/>
          </w:tcPr>
          <w:p w14:paraId="3D0430CD">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61966820">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2B2D8715">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71140A9B">
            <w:pPr>
              <w:pStyle w:val="49"/>
              <w:keepNext w:val="0"/>
              <w:keepLines w:val="0"/>
              <w:pageBreakBefore w:val="0"/>
              <w:kinsoku/>
              <w:wordWrap/>
              <w:overflowPunct/>
              <w:autoSpaceDE/>
              <w:autoSpaceDN/>
              <w:bidi w:val="0"/>
              <w:snapToGrid w:val="0"/>
              <w:spacing w:line="240" w:lineRule="exact"/>
              <w:ind w:right="113" w:rightChars="0"/>
              <w:textAlignment w:val="auto"/>
              <w:rPr>
                <w:rFonts w:hint="default" w:cs="Times New Roman"/>
                <w:color w:val="auto"/>
                <w:sz w:val="24"/>
                <w:szCs w:val="24"/>
                <w:lang w:val="en-US" w:eastAsia="zh-CN"/>
              </w:rPr>
            </w:pPr>
            <w:r>
              <w:rPr>
                <w:rFonts w:hint="eastAsia" w:cs="Times New Roman"/>
                <w:color w:val="auto"/>
                <w:sz w:val="24"/>
                <w:szCs w:val="24"/>
                <w:lang w:val="en-US" w:eastAsia="zh-CN"/>
              </w:rPr>
              <w:t>0.1</w:t>
            </w:r>
          </w:p>
        </w:tc>
        <w:tc>
          <w:tcPr>
            <w:tcW w:w="627" w:type="pct"/>
            <w:noWrap w:val="0"/>
            <w:vAlign w:val="center"/>
          </w:tcPr>
          <w:p w14:paraId="77B08BD5">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653" w:type="pct"/>
            <w:noWrap w:val="0"/>
            <w:vAlign w:val="center"/>
          </w:tcPr>
          <w:p w14:paraId="732786A6">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4D89B666">
            <w:pPr>
              <w:pStyle w:val="49"/>
              <w:keepNext w:val="0"/>
              <w:keepLines w:val="0"/>
              <w:pageBreakBefore w:val="0"/>
              <w:kinsoku/>
              <w:wordWrap/>
              <w:overflowPunct/>
              <w:autoSpaceDE/>
              <w:autoSpaceDN/>
              <w:bidi w:val="0"/>
              <w:snapToGrid w:val="0"/>
              <w:spacing w:line="240" w:lineRule="exact"/>
              <w:ind w:right="113" w:rightChars="0"/>
              <w:textAlignment w:val="auto"/>
              <w:rPr>
                <w:rFonts w:hint="default" w:cs="Times New Roman"/>
                <w:color w:val="auto"/>
                <w:kern w:val="24"/>
                <w:sz w:val="24"/>
                <w:szCs w:val="24"/>
                <w:lang w:val="en-US" w:eastAsia="zh-CN" w:bidi="ar-SA"/>
              </w:rPr>
            </w:pPr>
            <w:r>
              <w:rPr>
                <w:rFonts w:hint="eastAsia" w:cs="Times New Roman"/>
                <w:color w:val="auto"/>
                <w:kern w:val="24"/>
                <w:sz w:val="24"/>
                <w:szCs w:val="24"/>
                <w:lang w:val="en-US" w:eastAsia="zh-CN" w:bidi="ar-SA"/>
              </w:rPr>
              <w:t>+0.1</w:t>
            </w:r>
          </w:p>
        </w:tc>
      </w:tr>
      <w:tr w14:paraId="4EF72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01" w:type="pct"/>
            <w:vMerge w:val="continue"/>
            <w:noWrap w:val="0"/>
            <w:vAlign w:val="center"/>
          </w:tcPr>
          <w:p w14:paraId="78E00ADC">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p>
        </w:tc>
        <w:tc>
          <w:tcPr>
            <w:tcW w:w="565" w:type="pct"/>
            <w:noWrap w:val="0"/>
            <w:vAlign w:val="center"/>
          </w:tcPr>
          <w:p w14:paraId="65429FEB">
            <w:pPr>
              <w:keepNext w:val="0"/>
              <w:keepLines w:val="0"/>
              <w:pageBreakBefore w:val="0"/>
              <w:widowControl w:val="0"/>
              <w:suppressLineNumbers w:val="0"/>
              <w:kinsoku/>
              <w:wordWrap/>
              <w:overflowPunct/>
              <w:topLinePunct/>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宋体" w:cs="Times New Roman"/>
                <w:snapToGrid w:val="0"/>
                <w:color w:val="auto"/>
                <w:kern w:val="21"/>
                <w:sz w:val="24"/>
                <w:szCs w:val="24"/>
                <w:lang w:val="en-US" w:eastAsia="zh-CN" w:bidi="ar-SA"/>
              </w:rPr>
            </w:pPr>
            <w:r>
              <w:rPr>
                <w:rFonts w:hint="default" w:ascii="Times New Roman" w:hAnsi="Times New Roman" w:cs="Times New Roman"/>
                <w:color w:val="auto"/>
                <w:sz w:val="24"/>
                <w:szCs w:val="24"/>
                <w:lang w:val="en-US" w:eastAsia="zh-CN"/>
              </w:rPr>
              <w:t>铝条边角料</w:t>
            </w:r>
          </w:p>
        </w:tc>
        <w:tc>
          <w:tcPr>
            <w:tcW w:w="605" w:type="pct"/>
            <w:noWrap w:val="0"/>
            <w:vAlign w:val="center"/>
          </w:tcPr>
          <w:p w14:paraId="63A2A827">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26F1D4CE">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4482D4DD">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55F1E26F">
            <w:pPr>
              <w:pStyle w:val="49"/>
              <w:keepNext w:val="0"/>
              <w:keepLines w:val="0"/>
              <w:pageBreakBefore w:val="0"/>
              <w:kinsoku/>
              <w:wordWrap/>
              <w:overflowPunct/>
              <w:autoSpaceDE/>
              <w:autoSpaceDN/>
              <w:bidi w:val="0"/>
              <w:snapToGrid w:val="0"/>
              <w:spacing w:line="240" w:lineRule="exact"/>
              <w:ind w:right="113" w:rightChars="0"/>
              <w:textAlignment w:val="auto"/>
              <w:rPr>
                <w:rFonts w:hint="default" w:cs="Times New Roman"/>
                <w:color w:val="auto"/>
                <w:sz w:val="24"/>
                <w:szCs w:val="24"/>
                <w:lang w:val="en-US" w:eastAsia="zh-CN"/>
              </w:rPr>
            </w:pPr>
            <w:r>
              <w:rPr>
                <w:rFonts w:hint="eastAsia" w:cs="Times New Roman"/>
                <w:color w:val="auto"/>
                <w:sz w:val="24"/>
                <w:szCs w:val="24"/>
                <w:lang w:val="en-US" w:eastAsia="zh-CN"/>
              </w:rPr>
              <w:t>1</w:t>
            </w:r>
          </w:p>
        </w:tc>
        <w:tc>
          <w:tcPr>
            <w:tcW w:w="627" w:type="pct"/>
            <w:noWrap w:val="0"/>
            <w:vAlign w:val="center"/>
          </w:tcPr>
          <w:p w14:paraId="55330C87">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653" w:type="pct"/>
            <w:noWrap w:val="0"/>
            <w:vAlign w:val="center"/>
          </w:tcPr>
          <w:p w14:paraId="6476509A">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4091BED1">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1</w:t>
            </w:r>
          </w:p>
        </w:tc>
      </w:tr>
      <w:tr w14:paraId="771B8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01" w:type="pct"/>
            <w:vMerge w:val="restart"/>
            <w:noWrap w:val="0"/>
            <w:vAlign w:val="center"/>
          </w:tcPr>
          <w:p w14:paraId="37465FF5">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危险废物</w:t>
            </w:r>
          </w:p>
        </w:tc>
        <w:tc>
          <w:tcPr>
            <w:tcW w:w="565" w:type="pct"/>
            <w:noWrap w:val="0"/>
            <w:vAlign w:val="center"/>
          </w:tcPr>
          <w:p w14:paraId="7C6601EE">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w:t>
            </w:r>
            <w:r>
              <w:rPr>
                <w:rFonts w:hint="eastAsia" w:cs="Times New Roman"/>
                <w:color w:val="auto"/>
                <w:sz w:val="24"/>
                <w:szCs w:val="24"/>
                <w:lang w:val="en-US" w:eastAsia="zh-CN"/>
              </w:rPr>
              <w:t>机油</w:t>
            </w:r>
          </w:p>
        </w:tc>
        <w:tc>
          <w:tcPr>
            <w:tcW w:w="605" w:type="pct"/>
            <w:noWrap w:val="0"/>
            <w:vAlign w:val="center"/>
          </w:tcPr>
          <w:p w14:paraId="661E4886">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107867DC">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45220D7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4EBE1E09">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0.1</w:t>
            </w:r>
          </w:p>
        </w:tc>
        <w:tc>
          <w:tcPr>
            <w:tcW w:w="627" w:type="pct"/>
            <w:noWrap w:val="0"/>
            <w:vAlign w:val="center"/>
          </w:tcPr>
          <w:p w14:paraId="6CBF45F7">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p>
        </w:tc>
        <w:tc>
          <w:tcPr>
            <w:tcW w:w="653" w:type="pct"/>
            <w:noWrap w:val="0"/>
            <w:vAlign w:val="center"/>
          </w:tcPr>
          <w:p w14:paraId="6616D5A9">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p>
        </w:tc>
        <w:tc>
          <w:tcPr>
            <w:tcW w:w="1266" w:type="dxa"/>
            <w:noWrap w:val="0"/>
            <w:vAlign w:val="center"/>
          </w:tcPr>
          <w:p w14:paraId="288EB162">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0.1</w:t>
            </w:r>
          </w:p>
        </w:tc>
      </w:tr>
      <w:tr w14:paraId="101EF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01" w:type="pct"/>
            <w:vMerge w:val="continue"/>
            <w:noWrap w:val="0"/>
            <w:vAlign w:val="center"/>
          </w:tcPr>
          <w:p w14:paraId="1190BF07">
            <w:pPr>
              <w:pStyle w:val="49"/>
              <w:keepNext w:val="0"/>
              <w:keepLines w:val="0"/>
              <w:pageBreakBefore w:val="0"/>
              <w:kinsoku/>
              <w:wordWrap/>
              <w:overflowPunct/>
              <w:autoSpaceDE/>
              <w:autoSpaceDN/>
              <w:bidi w:val="0"/>
              <w:snapToGrid w:val="0"/>
              <w:spacing w:line="240" w:lineRule="exact"/>
              <w:textAlignment w:val="auto"/>
              <w:rPr>
                <w:rFonts w:hint="eastAsia" w:ascii="Times New Roman" w:hAnsi="Times New Roman" w:eastAsia="宋体" w:cs="Times New Roman"/>
                <w:color w:val="auto"/>
                <w:sz w:val="24"/>
                <w:szCs w:val="24"/>
                <w:lang w:val="en-US" w:eastAsia="zh-CN"/>
              </w:rPr>
            </w:pPr>
          </w:p>
        </w:tc>
        <w:tc>
          <w:tcPr>
            <w:tcW w:w="565" w:type="pct"/>
            <w:noWrap w:val="0"/>
            <w:vAlign w:val="center"/>
          </w:tcPr>
          <w:p w14:paraId="2D146192">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废胶桶</w:t>
            </w:r>
          </w:p>
        </w:tc>
        <w:tc>
          <w:tcPr>
            <w:tcW w:w="605" w:type="pct"/>
            <w:noWrap w:val="0"/>
            <w:vAlign w:val="center"/>
          </w:tcPr>
          <w:p w14:paraId="29173D4D">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6EEA75E3">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2E7D539B">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20BAD8F2">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0.72</w:t>
            </w:r>
          </w:p>
        </w:tc>
        <w:tc>
          <w:tcPr>
            <w:tcW w:w="627" w:type="pct"/>
            <w:noWrap w:val="0"/>
            <w:vAlign w:val="center"/>
          </w:tcPr>
          <w:p w14:paraId="59312622">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sz w:val="24"/>
                <w:szCs w:val="24"/>
                <w:lang w:val="en-US" w:eastAsia="zh-CN"/>
              </w:rPr>
            </w:pPr>
          </w:p>
        </w:tc>
        <w:tc>
          <w:tcPr>
            <w:tcW w:w="653" w:type="pct"/>
            <w:noWrap w:val="0"/>
            <w:vAlign w:val="center"/>
          </w:tcPr>
          <w:p w14:paraId="68C0A881">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p>
        </w:tc>
        <w:tc>
          <w:tcPr>
            <w:tcW w:w="1266" w:type="dxa"/>
            <w:noWrap w:val="0"/>
            <w:vAlign w:val="center"/>
          </w:tcPr>
          <w:p w14:paraId="549A8173">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w:t>
            </w:r>
            <w:r>
              <w:rPr>
                <w:rFonts w:hint="eastAsia" w:cs="Times New Roman"/>
                <w:color w:val="auto"/>
                <w:sz w:val="24"/>
                <w:szCs w:val="24"/>
                <w:lang w:val="en-US" w:eastAsia="zh-CN"/>
              </w:rPr>
              <w:t>0.72</w:t>
            </w:r>
          </w:p>
        </w:tc>
      </w:tr>
      <w:tr w14:paraId="6F1BA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01" w:type="pct"/>
            <w:vMerge w:val="continue"/>
            <w:noWrap w:val="0"/>
            <w:vAlign w:val="center"/>
          </w:tcPr>
          <w:p w14:paraId="1E0B0E25">
            <w:pPr>
              <w:pStyle w:val="49"/>
              <w:keepNext w:val="0"/>
              <w:keepLines w:val="0"/>
              <w:pageBreakBefore w:val="0"/>
              <w:kinsoku/>
              <w:wordWrap/>
              <w:overflowPunct/>
              <w:autoSpaceDE/>
              <w:autoSpaceDN/>
              <w:bidi w:val="0"/>
              <w:snapToGrid w:val="0"/>
              <w:spacing w:line="240" w:lineRule="exact"/>
              <w:textAlignment w:val="auto"/>
              <w:rPr>
                <w:rFonts w:hint="eastAsia" w:ascii="Times New Roman" w:hAnsi="Times New Roman" w:eastAsia="宋体" w:cs="Times New Roman"/>
                <w:color w:val="auto"/>
                <w:sz w:val="24"/>
                <w:szCs w:val="24"/>
                <w:lang w:val="en-US" w:eastAsia="zh-CN"/>
              </w:rPr>
            </w:pPr>
          </w:p>
        </w:tc>
        <w:tc>
          <w:tcPr>
            <w:tcW w:w="565" w:type="pct"/>
            <w:noWrap w:val="0"/>
            <w:vAlign w:val="center"/>
          </w:tcPr>
          <w:p w14:paraId="6CE4BB90">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废活性炭</w:t>
            </w:r>
          </w:p>
        </w:tc>
        <w:tc>
          <w:tcPr>
            <w:tcW w:w="605" w:type="pct"/>
            <w:noWrap w:val="0"/>
            <w:vAlign w:val="center"/>
          </w:tcPr>
          <w:p w14:paraId="62214279">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1C6E1C64">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01DC02F7">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7CD7DBAA">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4.29</w:t>
            </w:r>
          </w:p>
        </w:tc>
        <w:tc>
          <w:tcPr>
            <w:tcW w:w="627" w:type="pct"/>
            <w:noWrap w:val="0"/>
            <w:vAlign w:val="center"/>
          </w:tcPr>
          <w:p w14:paraId="24645F18">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p>
        </w:tc>
        <w:tc>
          <w:tcPr>
            <w:tcW w:w="653" w:type="pct"/>
            <w:noWrap w:val="0"/>
            <w:vAlign w:val="center"/>
          </w:tcPr>
          <w:p w14:paraId="7A4E9B53">
            <w:pPr>
              <w:pStyle w:val="49"/>
              <w:keepNext w:val="0"/>
              <w:keepLines w:val="0"/>
              <w:pageBreakBefore w:val="0"/>
              <w:kinsoku/>
              <w:wordWrap/>
              <w:overflowPunct/>
              <w:autoSpaceDE/>
              <w:autoSpaceDN/>
              <w:bidi w:val="0"/>
              <w:snapToGrid w:val="0"/>
              <w:spacing w:line="240" w:lineRule="exact"/>
              <w:ind w:right="113" w:rightChars="0"/>
              <w:textAlignment w:val="auto"/>
              <w:rPr>
                <w:rFonts w:hint="eastAsia" w:ascii="Times New Roman" w:hAnsi="Times New Roman" w:eastAsia="宋体" w:cs="Times New Roman"/>
                <w:color w:val="auto"/>
                <w:kern w:val="24"/>
                <w:sz w:val="24"/>
                <w:szCs w:val="24"/>
                <w:lang w:val="en-US" w:eastAsia="zh-CN" w:bidi="ar-SA"/>
              </w:rPr>
            </w:pPr>
          </w:p>
        </w:tc>
        <w:tc>
          <w:tcPr>
            <w:tcW w:w="1266" w:type="dxa"/>
            <w:noWrap w:val="0"/>
            <w:vAlign w:val="center"/>
          </w:tcPr>
          <w:p w14:paraId="0AA57AEB">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cs="Times New Roman"/>
                <w:color w:val="auto"/>
                <w:kern w:val="24"/>
                <w:sz w:val="24"/>
                <w:szCs w:val="24"/>
                <w:lang w:val="en-US" w:eastAsia="zh-CN" w:bidi="ar-SA"/>
              </w:rPr>
              <w:t>4.29</w:t>
            </w:r>
          </w:p>
        </w:tc>
      </w:tr>
      <w:tr w14:paraId="05654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1" w:type="pct"/>
            <w:noWrap w:val="0"/>
            <w:vAlign w:val="center"/>
          </w:tcPr>
          <w:p w14:paraId="15E38576">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565" w:type="pct"/>
            <w:noWrap w:val="0"/>
            <w:vAlign w:val="center"/>
          </w:tcPr>
          <w:p w14:paraId="7252F102">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5BB12E7F">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451" w:type="pct"/>
            <w:noWrap w:val="0"/>
            <w:vAlign w:val="center"/>
          </w:tcPr>
          <w:p w14:paraId="4BCAAE59">
            <w:pPr>
              <w:pStyle w:val="49"/>
              <w:keepNext w:val="0"/>
              <w:keepLines w:val="0"/>
              <w:pageBreakBefore w:val="0"/>
              <w:kinsoku/>
              <w:wordWrap/>
              <w:overflowPunct/>
              <w:autoSpaceDE/>
              <w:autoSpaceDN/>
              <w:bidi w:val="0"/>
              <w:snapToGrid w:val="0"/>
              <w:spacing w:line="24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05" w:type="pct"/>
            <w:noWrap w:val="0"/>
            <w:vAlign w:val="center"/>
          </w:tcPr>
          <w:p w14:paraId="256482CD">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kern w:val="24"/>
                <w:sz w:val="24"/>
                <w:szCs w:val="24"/>
                <w:lang w:val="en-US" w:eastAsia="zh-CN" w:bidi="ar-SA"/>
              </w:rPr>
            </w:pPr>
            <w:r>
              <w:rPr>
                <w:rFonts w:hint="eastAsia" w:ascii="Times New Roman" w:hAnsi="Times New Roman" w:eastAsia="宋体" w:cs="Times New Roman"/>
                <w:color w:val="auto"/>
                <w:sz w:val="24"/>
                <w:szCs w:val="24"/>
                <w:lang w:val="en-US" w:eastAsia="zh-CN"/>
              </w:rPr>
              <w:t>/</w:t>
            </w:r>
          </w:p>
        </w:tc>
        <w:tc>
          <w:tcPr>
            <w:tcW w:w="554" w:type="pct"/>
            <w:noWrap w:val="0"/>
            <w:vAlign w:val="center"/>
          </w:tcPr>
          <w:p w14:paraId="38352D76">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27" w:type="pct"/>
            <w:noWrap w:val="0"/>
            <w:vAlign w:val="center"/>
          </w:tcPr>
          <w:p w14:paraId="5EA5876A">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653" w:type="pct"/>
            <w:noWrap w:val="0"/>
            <w:vAlign w:val="center"/>
          </w:tcPr>
          <w:p w14:paraId="4A9BE6B2">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433" w:type="pct"/>
            <w:noWrap w:val="0"/>
            <w:vAlign w:val="center"/>
          </w:tcPr>
          <w:p w14:paraId="371BF1EC">
            <w:pPr>
              <w:pStyle w:val="49"/>
              <w:keepNext w:val="0"/>
              <w:keepLines w:val="0"/>
              <w:pageBreakBefore w:val="0"/>
              <w:kinsoku/>
              <w:wordWrap/>
              <w:overflowPunct/>
              <w:autoSpaceDE/>
              <w:autoSpaceDN/>
              <w:bidi w:val="0"/>
              <w:snapToGrid w:val="0"/>
              <w:spacing w:line="240" w:lineRule="exact"/>
              <w:ind w:right="113" w:rightChars="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r>
    </w:tbl>
    <w:p w14:paraId="078C4157">
      <w:pPr>
        <w:pStyle w:val="49"/>
        <w:ind w:right="113" w:rightChars="0"/>
        <w:rPr>
          <w:color w:val="auto"/>
        </w:rPr>
        <w:sectPr>
          <w:footerReference r:id="rId5" w:type="default"/>
          <w:pgSz w:w="16838" w:h="11906" w:orient="landscape"/>
          <w:pgMar w:top="1134" w:right="1134" w:bottom="1134" w:left="1134" w:header="567" w:footer="56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ascii="Times New Roman" w:hAnsi="Times New Roman" w:eastAsia="宋体" w:cs="Times New Roman"/>
          <w:color w:val="auto"/>
          <w:sz w:val="21"/>
          <w:szCs w:val="21"/>
        </w:rPr>
        <w:t>注：</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6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⑥</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1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①</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3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③</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4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④</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5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⑤</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7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⑦</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6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⑥</w:t>
      </w:r>
      <w:r>
        <w:rPr>
          <w:rFonts w:ascii="Times New Roman" w:hAnsi="Times New Roman" w:eastAsia="宋体" w:cs="Times New Roman"/>
          <w:color w:val="auto"/>
          <w:sz w:val="21"/>
          <w:szCs w:val="21"/>
        </w:rPr>
        <w:fldChar w:fldCharType="end"/>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fldChar w:fldCharType="begin"/>
      </w:r>
      <w:r>
        <w:rPr>
          <w:rFonts w:ascii="Times New Roman" w:hAnsi="Times New Roman" w:eastAsia="宋体" w:cs="Times New Roman"/>
          <w:color w:val="auto"/>
          <w:sz w:val="21"/>
          <w:szCs w:val="21"/>
        </w:rPr>
        <w:instrText xml:space="preserve"> = 1 \* GB3 \* MERGEFORMAT </w:instrText>
      </w:r>
      <w:r>
        <w:rPr>
          <w:rFonts w:ascii="Times New Roman" w:hAnsi="Times New Roman" w:eastAsia="宋体" w:cs="Times New Roman"/>
          <w:color w:val="auto"/>
          <w:sz w:val="21"/>
          <w:szCs w:val="21"/>
        </w:rPr>
        <w:fldChar w:fldCharType="separate"/>
      </w:r>
      <w:r>
        <w:rPr>
          <w:rFonts w:hint="eastAsia" w:ascii="Times New Roman" w:hAnsi="Times New Roman" w:eastAsia="宋体" w:cs="Times New Roman"/>
          <w:color w:val="auto"/>
          <w:sz w:val="21"/>
          <w:szCs w:val="21"/>
        </w:rPr>
        <w:t>①</w:t>
      </w:r>
      <w:r>
        <w:rPr>
          <w:rFonts w:ascii="Times New Roman" w:hAnsi="Times New Roman" w:eastAsia="宋体" w:cs="Times New Roman"/>
          <w:color w:val="auto"/>
          <w:sz w:val="21"/>
          <w:szCs w:val="21"/>
        </w:rPr>
        <w:fldChar w:fldCharType="end"/>
      </w:r>
      <w:r>
        <w:rPr>
          <w:rFonts w:hint="eastAsia" w:ascii="Times New Roman" w:hAnsi="Times New Roman" w:eastAsia="宋体" w:cs="Times New Roman"/>
          <w:color w:val="auto"/>
          <w:sz w:val="21"/>
          <w:szCs w:val="21"/>
          <w:lang w:val="en-US" w:eastAsia="zh-CN"/>
        </w:rPr>
        <w:t>,单位t/a。</w:t>
      </w:r>
    </w:p>
    <w:p w14:paraId="29EA3F64">
      <w:pPr>
        <w:rPr>
          <w:rFonts w:hint="default"/>
          <w:b/>
          <w:bCs/>
          <w:lang w:val="en-US" w:eastAsia="zh-CN"/>
        </w:rPr>
      </w:pPr>
    </w:p>
    <w:sectPr>
      <w:headerReference r:id="rId6" w:type="default"/>
      <w:pgSz w:w="11906" w:h="16838"/>
      <w:pgMar w:top="1800" w:right="1440" w:bottom="1800" w:left="1440" w:header="283" w:footer="283"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auto"/>
    <w:pitch w:val="default"/>
    <w:sig w:usb0="E00006FF" w:usb1="420024FF" w:usb2="02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4E21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9055C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G4ionNwIAAHEEAAAOAAAAAAAAAAEAIAAAAB8BAABkcnMvZTJvRG9jLnht&#10;bFBLBQYAAAAABgAGAFkBAADIBQAAAAA=&#10;">
              <v:fill on="f" focussize="0,0"/>
              <v:stroke on="f" weight="0.5pt"/>
              <v:imagedata o:title=""/>
              <o:lock v:ext="edit" aspectratio="f"/>
              <v:textbox inset="0mm,0mm,0mm,0mm" style="mso-fit-shape-to-text:t;">
                <w:txbxContent>
                  <w:p w14:paraId="319055C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2BA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5CC3BC">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zE2ldOgIAAHIEAAAOAAAAAAAAAAEAIAAAAB8BAABkcnMvZTJvRG9j&#10;LnhtbFBLBQYAAAAABgAGAFkBAADLBQAAAAA=&#10;">
              <v:fill on="f" focussize="0,0"/>
              <v:stroke on="f" weight="0.5pt"/>
              <v:imagedata o:title=""/>
              <o:lock v:ext="edit" aspectratio="f"/>
              <v:textbox inset="0mm,0mm,0mm,0mm" style="mso-fit-shape-to-text:t;">
                <w:txbxContent>
                  <w:p w14:paraId="015CC3BC">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A508">
    <w:pPr>
      <w:pStyle w:val="11"/>
      <w:tabs>
        <w:tab w:val="left" w:pos="2569"/>
        <w:tab w:val="clear" w:pos="4153"/>
      </w:tabs>
      <w:rPr>
        <w:rFonts w:hint="default" w:eastAsia="宋体"/>
        <w:lang w:val="en-US"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1160">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44040"/>
    <w:multiLevelType w:val="singleLevel"/>
    <w:tmpl w:val="B2444040"/>
    <w:lvl w:ilvl="0" w:tentative="0">
      <w:start w:val="1"/>
      <w:numFmt w:val="decimal"/>
      <w:suff w:val="nothing"/>
      <w:lvlText w:val="%1、"/>
      <w:lvlJc w:val="left"/>
    </w:lvl>
  </w:abstractNum>
  <w:abstractNum w:abstractNumId="1">
    <w:nsid w:val="CBC5E64E"/>
    <w:multiLevelType w:val="singleLevel"/>
    <w:tmpl w:val="CBC5E64E"/>
    <w:lvl w:ilvl="0" w:tentative="0">
      <w:start w:val="1"/>
      <w:numFmt w:val="bullet"/>
      <w:lvlText w:val=""/>
      <w:lvlJc w:val="left"/>
      <w:pPr>
        <w:ind w:left="420" w:hanging="420"/>
      </w:pPr>
      <w:rPr>
        <w:rFonts w:hint="default" w:ascii="Wingdings" w:hAnsi="Wingdings"/>
      </w:rPr>
    </w:lvl>
  </w:abstractNum>
  <w:abstractNum w:abstractNumId="2">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9"/>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42DEECB"/>
    <w:multiLevelType w:val="singleLevel"/>
    <w:tmpl w:val="442DEECB"/>
    <w:lvl w:ilvl="0" w:tentative="0">
      <w:start w:val="1"/>
      <w:numFmt w:val="decimal"/>
      <w:suff w:val="nothing"/>
      <w:lvlText w:val="%1、"/>
      <w:lvlJc w:val="left"/>
    </w:lvl>
  </w:abstractNum>
  <w:abstractNum w:abstractNumId="4">
    <w:nsid w:val="4941FF89"/>
    <w:multiLevelType w:val="singleLevel"/>
    <w:tmpl w:val="4941FF89"/>
    <w:lvl w:ilvl="0" w:tentative="0">
      <w:start w:val="13"/>
      <w:numFmt w:val="decimal"/>
      <w:suff w:val="nothing"/>
      <w:lvlText w:val="%1、"/>
      <w:lvlJc w:val="left"/>
    </w:lvl>
  </w:abstractNum>
  <w:abstractNum w:abstractNumId="5">
    <w:nsid w:val="58B28C98"/>
    <w:multiLevelType w:val="singleLevel"/>
    <w:tmpl w:val="58B28C98"/>
    <w:lvl w:ilvl="0" w:tentative="0">
      <w:start w:val="3"/>
      <w:numFmt w:val="decimal"/>
      <w:suff w:val="nothing"/>
      <w:lvlText w:val="%1、"/>
      <w:lvlJc w:val="left"/>
    </w:lvl>
  </w:abstractNum>
  <w:abstractNum w:abstractNumId="6">
    <w:nsid w:val="67CDD630"/>
    <w:multiLevelType w:val="singleLevel"/>
    <w:tmpl w:val="67CDD630"/>
    <w:lvl w:ilvl="0" w:tentative="0">
      <w:start w:val="1"/>
      <w:numFmt w:val="decimal"/>
      <w:suff w:val="nothing"/>
      <w:lvlText w:val="（%1）"/>
      <w:lvlJc w:val="left"/>
    </w:lvl>
  </w:abstractNum>
  <w:abstractNum w:abstractNumId="7">
    <w:nsid w:val="6F983A41"/>
    <w:multiLevelType w:val="singleLevel"/>
    <w:tmpl w:val="6F983A41"/>
    <w:lvl w:ilvl="0" w:tentative="0">
      <w:start w:val="1"/>
      <w:numFmt w:val="chineseCounting"/>
      <w:suff w:val="space"/>
      <w:lvlText w:val="（%1）"/>
      <w:lvlJc w:val="left"/>
      <w:rPr>
        <w:rFonts w:hint="eastAsia"/>
      </w:rPr>
    </w:lvl>
  </w:abstractNum>
  <w:num w:numId="1">
    <w:abstractNumId w:val="2"/>
  </w:num>
  <w:num w:numId="2">
    <w:abstractNumId w:val="4"/>
  </w:num>
  <w:num w:numId="3">
    <w:abstractNumId w:val="7"/>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WM0NjhmMDQxM2ExOTUyMmY2NTYyNTM4YmU0YWEifQ=="/>
    <w:docVar w:name="KSO_WPS_MARK_KEY" w:val="fa61d319-07ee-421e-b64e-36d64f148474"/>
  </w:docVars>
  <w:rsids>
    <w:rsidRoot w:val="563E6262"/>
    <w:rsid w:val="00423C6D"/>
    <w:rsid w:val="00477877"/>
    <w:rsid w:val="00705B6E"/>
    <w:rsid w:val="009F2329"/>
    <w:rsid w:val="00CF13E4"/>
    <w:rsid w:val="00D20B4D"/>
    <w:rsid w:val="013B0DE8"/>
    <w:rsid w:val="014A2DD9"/>
    <w:rsid w:val="01831A24"/>
    <w:rsid w:val="02162F3A"/>
    <w:rsid w:val="023D0B8F"/>
    <w:rsid w:val="02432F5E"/>
    <w:rsid w:val="02ED7EC0"/>
    <w:rsid w:val="033A0C2B"/>
    <w:rsid w:val="03A34F54"/>
    <w:rsid w:val="041D2A27"/>
    <w:rsid w:val="041D4E9F"/>
    <w:rsid w:val="04754611"/>
    <w:rsid w:val="048775D2"/>
    <w:rsid w:val="04C61F30"/>
    <w:rsid w:val="04CE3D21"/>
    <w:rsid w:val="057A3F20"/>
    <w:rsid w:val="05C20F19"/>
    <w:rsid w:val="06383B48"/>
    <w:rsid w:val="068806EA"/>
    <w:rsid w:val="0693340D"/>
    <w:rsid w:val="0732147B"/>
    <w:rsid w:val="076C5355"/>
    <w:rsid w:val="0774296A"/>
    <w:rsid w:val="077666A5"/>
    <w:rsid w:val="07AA2066"/>
    <w:rsid w:val="084F7DF5"/>
    <w:rsid w:val="08940DDD"/>
    <w:rsid w:val="08991918"/>
    <w:rsid w:val="08D57A64"/>
    <w:rsid w:val="08E104C7"/>
    <w:rsid w:val="08EA2A8A"/>
    <w:rsid w:val="093D7CDD"/>
    <w:rsid w:val="09424C7F"/>
    <w:rsid w:val="09687C62"/>
    <w:rsid w:val="098A143C"/>
    <w:rsid w:val="09F2225F"/>
    <w:rsid w:val="0A2A6259"/>
    <w:rsid w:val="0A336E40"/>
    <w:rsid w:val="0A4E1C5A"/>
    <w:rsid w:val="0AD01EEB"/>
    <w:rsid w:val="0AE42354"/>
    <w:rsid w:val="0AF07ED1"/>
    <w:rsid w:val="0B050444"/>
    <w:rsid w:val="0B0D5703"/>
    <w:rsid w:val="0B1B5633"/>
    <w:rsid w:val="0B792C38"/>
    <w:rsid w:val="0BC42576"/>
    <w:rsid w:val="0BEC2E51"/>
    <w:rsid w:val="0C3B6FF3"/>
    <w:rsid w:val="0C5E43E9"/>
    <w:rsid w:val="0CE71E0A"/>
    <w:rsid w:val="0CFF6D09"/>
    <w:rsid w:val="0D134E13"/>
    <w:rsid w:val="0E195741"/>
    <w:rsid w:val="0E2155C7"/>
    <w:rsid w:val="0E364E11"/>
    <w:rsid w:val="0E43308A"/>
    <w:rsid w:val="0E6F0323"/>
    <w:rsid w:val="0EB126E9"/>
    <w:rsid w:val="0F556842"/>
    <w:rsid w:val="0F6B0AEA"/>
    <w:rsid w:val="101D0451"/>
    <w:rsid w:val="103A0980"/>
    <w:rsid w:val="106A728A"/>
    <w:rsid w:val="106C2514"/>
    <w:rsid w:val="10766D71"/>
    <w:rsid w:val="113E1EFF"/>
    <w:rsid w:val="122825B4"/>
    <w:rsid w:val="12323150"/>
    <w:rsid w:val="123D0543"/>
    <w:rsid w:val="128E2CDC"/>
    <w:rsid w:val="12B068B3"/>
    <w:rsid w:val="12E52961"/>
    <w:rsid w:val="130369BD"/>
    <w:rsid w:val="13064FA5"/>
    <w:rsid w:val="130E0FCA"/>
    <w:rsid w:val="132F7828"/>
    <w:rsid w:val="13450361"/>
    <w:rsid w:val="13673309"/>
    <w:rsid w:val="13D124CE"/>
    <w:rsid w:val="142D138F"/>
    <w:rsid w:val="14656C44"/>
    <w:rsid w:val="156859E1"/>
    <w:rsid w:val="15BD1974"/>
    <w:rsid w:val="15C622B7"/>
    <w:rsid w:val="163D6468"/>
    <w:rsid w:val="164121FC"/>
    <w:rsid w:val="16A52407"/>
    <w:rsid w:val="16AF39B2"/>
    <w:rsid w:val="16BC6DDC"/>
    <w:rsid w:val="172E2B2B"/>
    <w:rsid w:val="17850228"/>
    <w:rsid w:val="17920BDE"/>
    <w:rsid w:val="17DB7B4A"/>
    <w:rsid w:val="17F32385"/>
    <w:rsid w:val="182061EA"/>
    <w:rsid w:val="1844012A"/>
    <w:rsid w:val="184677F5"/>
    <w:rsid w:val="18D41507"/>
    <w:rsid w:val="18D72D4C"/>
    <w:rsid w:val="19575C3B"/>
    <w:rsid w:val="19B80DD0"/>
    <w:rsid w:val="19BE61D3"/>
    <w:rsid w:val="1A1B504D"/>
    <w:rsid w:val="1A5B277D"/>
    <w:rsid w:val="1A750A6F"/>
    <w:rsid w:val="1A9058A9"/>
    <w:rsid w:val="1AE6467E"/>
    <w:rsid w:val="1B4F12C0"/>
    <w:rsid w:val="1B6D7998"/>
    <w:rsid w:val="1B7D09A4"/>
    <w:rsid w:val="1B853B8B"/>
    <w:rsid w:val="1BCF2401"/>
    <w:rsid w:val="1BF938EA"/>
    <w:rsid w:val="1C33473D"/>
    <w:rsid w:val="1CD51C99"/>
    <w:rsid w:val="1D3A2F97"/>
    <w:rsid w:val="1D4C52E7"/>
    <w:rsid w:val="1D776A3D"/>
    <w:rsid w:val="1D82371A"/>
    <w:rsid w:val="1DD544E9"/>
    <w:rsid w:val="1E427CF3"/>
    <w:rsid w:val="1E785E99"/>
    <w:rsid w:val="1ED925DB"/>
    <w:rsid w:val="1EF50FC3"/>
    <w:rsid w:val="1EFA7794"/>
    <w:rsid w:val="1EFF035C"/>
    <w:rsid w:val="1F52105B"/>
    <w:rsid w:val="20423544"/>
    <w:rsid w:val="20454D5D"/>
    <w:rsid w:val="204E2A88"/>
    <w:rsid w:val="2067137F"/>
    <w:rsid w:val="20B3229E"/>
    <w:rsid w:val="21DA461D"/>
    <w:rsid w:val="222E4C19"/>
    <w:rsid w:val="226B02D1"/>
    <w:rsid w:val="227C001B"/>
    <w:rsid w:val="22947F00"/>
    <w:rsid w:val="22E31B30"/>
    <w:rsid w:val="22EA1804"/>
    <w:rsid w:val="22FD508A"/>
    <w:rsid w:val="233D27E3"/>
    <w:rsid w:val="23847F75"/>
    <w:rsid w:val="23A10B26"/>
    <w:rsid w:val="23A75A11"/>
    <w:rsid w:val="23B73EA6"/>
    <w:rsid w:val="245B2172"/>
    <w:rsid w:val="247C0A64"/>
    <w:rsid w:val="24D43B98"/>
    <w:rsid w:val="25081021"/>
    <w:rsid w:val="250E6C1A"/>
    <w:rsid w:val="254A6C9D"/>
    <w:rsid w:val="259E6CE6"/>
    <w:rsid w:val="25EF5448"/>
    <w:rsid w:val="266A244F"/>
    <w:rsid w:val="26A07F53"/>
    <w:rsid w:val="26C272E0"/>
    <w:rsid w:val="277722D9"/>
    <w:rsid w:val="278C743B"/>
    <w:rsid w:val="27987F46"/>
    <w:rsid w:val="27B16E5E"/>
    <w:rsid w:val="27C57BD5"/>
    <w:rsid w:val="27D90D9F"/>
    <w:rsid w:val="2805123E"/>
    <w:rsid w:val="28235FAE"/>
    <w:rsid w:val="28AB7D51"/>
    <w:rsid w:val="28C728AF"/>
    <w:rsid w:val="295A36A5"/>
    <w:rsid w:val="2974579E"/>
    <w:rsid w:val="29C14B28"/>
    <w:rsid w:val="29D137E8"/>
    <w:rsid w:val="29DB362B"/>
    <w:rsid w:val="29E04248"/>
    <w:rsid w:val="2A0403B1"/>
    <w:rsid w:val="2A1F0799"/>
    <w:rsid w:val="2A280CD6"/>
    <w:rsid w:val="2A6B0871"/>
    <w:rsid w:val="2AA0181C"/>
    <w:rsid w:val="2ACD2C7C"/>
    <w:rsid w:val="2AE75342"/>
    <w:rsid w:val="2BD54EB3"/>
    <w:rsid w:val="2C025EDA"/>
    <w:rsid w:val="2C062305"/>
    <w:rsid w:val="2C8D7E9A"/>
    <w:rsid w:val="2CA84CD4"/>
    <w:rsid w:val="2CAE4CD8"/>
    <w:rsid w:val="2D9F269A"/>
    <w:rsid w:val="2DC55BF1"/>
    <w:rsid w:val="2DE039DD"/>
    <w:rsid w:val="2DE145E5"/>
    <w:rsid w:val="2DE23E8F"/>
    <w:rsid w:val="2DF42949"/>
    <w:rsid w:val="2DFB0E33"/>
    <w:rsid w:val="2DFE63F4"/>
    <w:rsid w:val="2E3471E9"/>
    <w:rsid w:val="2EA94D33"/>
    <w:rsid w:val="2ECB4CA9"/>
    <w:rsid w:val="2F116C52"/>
    <w:rsid w:val="2F6B4141"/>
    <w:rsid w:val="2F715851"/>
    <w:rsid w:val="2FA86D99"/>
    <w:rsid w:val="2FC33BD3"/>
    <w:rsid w:val="2FC82F97"/>
    <w:rsid w:val="2FD0101A"/>
    <w:rsid w:val="300F506A"/>
    <w:rsid w:val="301F35A2"/>
    <w:rsid w:val="30251EED"/>
    <w:rsid w:val="30386B07"/>
    <w:rsid w:val="304740F2"/>
    <w:rsid w:val="309C4595"/>
    <w:rsid w:val="30C23E8A"/>
    <w:rsid w:val="30D047F9"/>
    <w:rsid w:val="30DB1C29"/>
    <w:rsid w:val="30DC4F4C"/>
    <w:rsid w:val="30E53795"/>
    <w:rsid w:val="3106021B"/>
    <w:rsid w:val="31085D41"/>
    <w:rsid w:val="31206310"/>
    <w:rsid w:val="31635BA0"/>
    <w:rsid w:val="31670909"/>
    <w:rsid w:val="31884635"/>
    <w:rsid w:val="32063522"/>
    <w:rsid w:val="32150F55"/>
    <w:rsid w:val="324F74C3"/>
    <w:rsid w:val="32B25343"/>
    <w:rsid w:val="32B34FE1"/>
    <w:rsid w:val="330C7224"/>
    <w:rsid w:val="33171913"/>
    <w:rsid w:val="331C1F78"/>
    <w:rsid w:val="331C4EA3"/>
    <w:rsid w:val="33983348"/>
    <w:rsid w:val="33EB43BD"/>
    <w:rsid w:val="34776F8E"/>
    <w:rsid w:val="34953B5A"/>
    <w:rsid w:val="34A31B64"/>
    <w:rsid w:val="34C127A4"/>
    <w:rsid w:val="34F74F98"/>
    <w:rsid w:val="352C128C"/>
    <w:rsid w:val="3573102C"/>
    <w:rsid w:val="3574431E"/>
    <w:rsid w:val="35964CA9"/>
    <w:rsid w:val="3629284C"/>
    <w:rsid w:val="3670353E"/>
    <w:rsid w:val="369D6F2B"/>
    <w:rsid w:val="36AA33F6"/>
    <w:rsid w:val="36D668E1"/>
    <w:rsid w:val="36E333C6"/>
    <w:rsid w:val="36E64CC2"/>
    <w:rsid w:val="36F8284B"/>
    <w:rsid w:val="372412FC"/>
    <w:rsid w:val="374337F2"/>
    <w:rsid w:val="375219AF"/>
    <w:rsid w:val="375B71BD"/>
    <w:rsid w:val="37607D31"/>
    <w:rsid w:val="37CA3B50"/>
    <w:rsid w:val="38035AA1"/>
    <w:rsid w:val="383A67C8"/>
    <w:rsid w:val="3894435E"/>
    <w:rsid w:val="38A850E1"/>
    <w:rsid w:val="38B150BD"/>
    <w:rsid w:val="38B37536"/>
    <w:rsid w:val="38CB2E77"/>
    <w:rsid w:val="38EF1B81"/>
    <w:rsid w:val="39613B79"/>
    <w:rsid w:val="39951753"/>
    <w:rsid w:val="39C21243"/>
    <w:rsid w:val="3A661D2A"/>
    <w:rsid w:val="3A8F6362"/>
    <w:rsid w:val="3AC23405"/>
    <w:rsid w:val="3AC36417"/>
    <w:rsid w:val="3ADC36A8"/>
    <w:rsid w:val="3B8F2130"/>
    <w:rsid w:val="3BAB3E99"/>
    <w:rsid w:val="3BAE1BDB"/>
    <w:rsid w:val="3C2F4ACA"/>
    <w:rsid w:val="3C6173E7"/>
    <w:rsid w:val="3C7100C8"/>
    <w:rsid w:val="3C7512FB"/>
    <w:rsid w:val="3C836BC3"/>
    <w:rsid w:val="3CA134EE"/>
    <w:rsid w:val="3CBF6EDA"/>
    <w:rsid w:val="3D4D5918"/>
    <w:rsid w:val="3D673DEF"/>
    <w:rsid w:val="3D844423"/>
    <w:rsid w:val="3D8456F4"/>
    <w:rsid w:val="3DE034A9"/>
    <w:rsid w:val="3E642BC8"/>
    <w:rsid w:val="3E773691"/>
    <w:rsid w:val="3E854A2E"/>
    <w:rsid w:val="3E8751EC"/>
    <w:rsid w:val="3E93223C"/>
    <w:rsid w:val="3E9F375D"/>
    <w:rsid w:val="3EC42C39"/>
    <w:rsid w:val="3EED02AC"/>
    <w:rsid w:val="3EF12938"/>
    <w:rsid w:val="3EF21CE5"/>
    <w:rsid w:val="3EF52A56"/>
    <w:rsid w:val="3F740A45"/>
    <w:rsid w:val="3FB318FD"/>
    <w:rsid w:val="3FE07728"/>
    <w:rsid w:val="400E5E97"/>
    <w:rsid w:val="4023673B"/>
    <w:rsid w:val="407A7546"/>
    <w:rsid w:val="40A3373C"/>
    <w:rsid w:val="410D1152"/>
    <w:rsid w:val="41780CC1"/>
    <w:rsid w:val="417B60BB"/>
    <w:rsid w:val="41F4262E"/>
    <w:rsid w:val="41F8595E"/>
    <w:rsid w:val="42304AE4"/>
    <w:rsid w:val="42A476FB"/>
    <w:rsid w:val="42E1524B"/>
    <w:rsid w:val="437C2626"/>
    <w:rsid w:val="43E77FE6"/>
    <w:rsid w:val="44E24D0F"/>
    <w:rsid w:val="45723BB5"/>
    <w:rsid w:val="45D66E96"/>
    <w:rsid w:val="467D2EB7"/>
    <w:rsid w:val="46C67DD9"/>
    <w:rsid w:val="46DE2DCE"/>
    <w:rsid w:val="4757007D"/>
    <w:rsid w:val="47A13CB6"/>
    <w:rsid w:val="481052EC"/>
    <w:rsid w:val="481334F1"/>
    <w:rsid w:val="48222728"/>
    <w:rsid w:val="48356733"/>
    <w:rsid w:val="48BD4E2F"/>
    <w:rsid w:val="48F705D3"/>
    <w:rsid w:val="4907200E"/>
    <w:rsid w:val="49A74546"/>
    <w:rsid w:val="49AC47FE"/>
    <w:rsid w:val="4A3E06FE"/>
    <w:rsid w:val="4A8A736F"/>
    <w:rsid w:val="4A9621B8"/>
    <w:rsid w:val="4AEE26B8"/>
    <w:rsid w:val="4B0B03EB"/>
    <w:rsid w:val="4B247456"/>
    <w:rsid w:val="4B4423E4"/>
    <w:rsid w:val="4B762BA4"/>
    <w:rsid w:val="4B991F60"/>
    <w:rsid w:val="4BA07364"/>
    <w:rsid w:val="4C0B36B3"/>
    <w:rsid w:val="4C3C0B3D"/>
    <w:rsid w:val="4CE0771A"/>
    <w:rsid w:val="4D0614D7"/>
    <w:rsid w:val="4D8B74B2"/>
    <w:rsid w:val="4DA70ED3"/>
    <w:rsid w:val="4DB82445"/>
    <w:rsid w:val="4E2B0F4A"/>
    <w:rsid w:val="4E371579"/>
    <w:rsid w:val="4E807407"/>
    <w:rsid w:val="4E8503E5"/>
    <w:rsid w:val="4E897513"/>
    <w:rsid w:val="4E8D38D2"/>
    <w:rsid w:val="4E923417"/>
    <w:rsid w:val="4E9D09E5"/>
    <w:rsid w:val="4EC61F55"/>
    <w:rsid w:val="4ED654AC"/>
    <w:rsid w:val="4F657519"/>
    <w:rsid w:val="4F8C5667"/>
    <w:rsid w:val="4FAD5FDA"/>
    <w:rsid w:val="4FCD4D4A"/>
    <w:rsid w:val="4FE47521"/>
    <w:rsid w:val="4FEB66FE"/>
    <w:rsid w:val="4FF534DD"/>
    <w:rsid w:val="502B401F"/>
    <w:rsid w:val="505D6B11"/>
    <w:rsid w:val="50681F00"/>
    <w:rsid w:val="506A5C79"/>
    <w:rsid w:val="507761D2"/>
    <w:rsid w:val="507E34D2"/>
    <w:rsid w:val="50C77648"/>
    <w:rsid w:val="50CB647E"/>
    <w:rsid w:val="50F25C6E"/>
    <w:rsid w:val="50FB1F01"/>
    <w:rsid w:val="51967FDF"/>
    <w:rsid w:val="51BB5DCD"/>
    <w:rsid w:val="51BE63DE"/>
    <w:rsid w:val="526130AB"/>
    <w:rsid w:val="528D3679"/>
    <w:rsid w:val="52B15A47"/>
    <w:rsid w:val="52BC7D22"/>
    <w:rsid w:val="53011A3F"/>
    <w:rsid w:val="530B42B2"/>
    <w:rsid w:val="53537364"/>
    <w:rsid w:val="5447178B"/>
    <w:rsid w:val="548E3F00"/>
    <w:rsid w:val="549D32F0"/>
    <w:rsid w:val="54F33A60"/>
    <w:rsid w:val="54FB5463"/>
    <w:rsid w:val="551E5284"/>
    <w:rsid w:val="558162DB"/>
    <w:rsid w:val="55874820"/>
    <w:rsid w:val="55AE6607"/>
    <w:rsid w:val="55BB1B95"/>
    <w:rsid w:val="55E52A68"/>
    <w:rsid w:val="55F56B1A"/>
    <w:rsid w:val="560342C2"/>
    <w:rsid w:val="56316368"/>
    <w:rsid w:val="563E6262"/>
    <w:rsid w:val="565E3703"/>
    <w:rsid w:val="568F0EEF"/>
    <w:rsid w:val="56C234F9"/>
    <w:rsid w:val="56FD0E1D"/>
    <w:rsid w:val="577D4EC5"/>
    <w:rsid w:val="578307B7"/>
    <w:rsid w:val="57911D3D"/>
    <w:rsid w:val="579B0E0D"/>
    <w:rsid w:val="57A0126F"/>
    <w:rsid w:val="58495567"/>
    <w:rsid w:val="58974BE0"/>
    <w:rsid w:val="58B51A85"/>
    <w:rsid w:val="59892DC8"/>
    <w:rsid w:val="59F760A3"/>
    <w:rsid w:val="5A6E1FF5"/>
    <w:rsid w:val="5AC33A8F"/>
    <w:rsid w:val="5AD91606"/>
    <w:rsid w:val="5B0D5675"/>
    <w:rsid w:val="5B1A61C4"/>
    <w:rsid w:val="5B210122"/>
    <w:rsid w:val="5B585ED1"/>
    <w:rsid w:val="5B6559BA"/>
    <w:rsid w:val="5BCF4DDD"/>
    <w:rsid w:val="5C3130AE"/>
    <w:rsid w:val="5C382C88"/>
    <w:rsid w:val="5C4A3057"/>
    <w:rsid w:val="5C6938DE"/>
    <w:rsid w:val="5D491861"/>
    <w:rsid w:val="5D4B4B39"/>
    <w:rsid w:val="5DBB2686"/>
    <w:rsid w:val="5E245BCB"/>
    <w:rsid w:val="5E8B0F3A"/>
    <w:rsid w:val="5EA20770"/>
    <w:rsid w:val="5EBE042D"/>
    <w:rsid w:val="5ED0643E"/>
    <w:rsid w:val="5F074FDA"/>
    <w:rsid w:val="5F2C36D1"/>
    <w:rsid w:val="5F6A0BF5"/>
    <w:rsid w:val="5F795DAC"/>
    <w:rsid w:val="5F8634BC"/>
    <w:rsid w:val="5F8B6DFE"/>
    <w:rsid w:val="5FD77715"/>
    <w:rsid w:val="60184A05"/>
    <w:rsid w:val="601B2AEB"/>
    <w:rsid w:val="607B5707"/>
    <w:rsid w:val="608428C9"/>
    <w:rsid w:val="608727E9"/>
    <w:rsid w:val="608A4130"/>
    <w:rsid w:val="60B44699"/>
    <w:rsid w:val="614F0E3B"/>
    <w:rsid w:val="61650215"/>
    <w:rsid w:val="616D6382"/>
    <w:rsid w:val="61BA5F67"/>
    <w:rsid w:val="61D57F8C"/>
    <w:rsid w:val="621D74A2"/>
    <w:rsid w:val="624A0885"/>
    <w:rsid w:val="629D2F2A"/>
    <w:rsid w:val="62B847DB"/>
    <w:rsid w:val="62C27B96"/>
    <w:rsid w:val="631834E5"/>
    <w:rsid w:val="634F6B47"/>
    <w:rsid w:val="63C92BC5"/>
    <w:rsid w:val="63FF0F92"/>
    <w:rsid w:val="64A03DD8"/>
    <w:rsid w:val="64C5571C"/>
    <w:rsid w:val="64EA532B"/>
    <w:rsid w:val="652A0504"/>
    <w:rsid w:val="65305ACF"/>
    <w:rsid w:val="65586590"/>
    <w:rsid w:val="658775BE"/>
    <w:rsid w:val="662B7800"/>
    <w:rsid w:val="66923636"/>
    <w:rsid w:val="66D93700"/>
    <w:rsid w:val="670519E7"/>
    <w:rsid w:val="67383B10"/>
    <w:rsid w:val="677121FA"/>
    <w:rsid w:val="679856D8"/>
    <w:rsid w:val="68035C57"/>
    <w:rsid w:val="68276B7A"/>
    <w:rsid w:val="68594AF9"/>
    <w:rsid w:val="68761C4E"/>
    <w:rsid w:val="68B34EB3"/>
    <w:rsid w:val="68D84917"/>
    <w:rsid w:val="68D979E8"/>
    <w:rsid w:val="68DB418D"/>
    <w:rsid w:val="68EB1984"/>
    <w:rsid w:val="68F640F6"/>
    <w:rsid w:val="690B0DFB"/>
    <w:rsid w:val="69101B88"/>
    <w:rsid w:val="69BF356C"/>
    <w:rsid w:val="6A191B20"/>
    <w:rsid w:val="6A306EEA"/>
    <w:rsid w:val="6A357C06"/>
    <w:rsid w:val="6AA162E3"/>
    <w:rsid w:val="6AD20B92"/>
    <w:rsid w:val="6ADF6E0B"/>
    <w:rsid w:val="6AF013B2"/>
    <w:rsid w:val="6AF15E9A"/>
    <w:rsid w:val="6B091F77"/>
    <w:rsid w:val="6B337A7E"/>
    <w:rsid w:val="6B6A3716"/>
    <w:rsid w:val="6C191EE7"/>
    <w:rsid w:val="6C311A76"/>
    <w:rsid w:val="6C501D6F"/>
    <w:rsid w:val="6C5D0DB9"/>
    <w:rsid w:val="6CD42D18"/>
    <w:rsid w:val="6CDF31DE"/>
    <w:rsid w:val="6CE07FA9"/>
    <w:rsid w:val="6D0A63C2"/>
    <w:rsid w:val="6D3306F3"/>
    <w:rsid w:val="6D800432"/>
    <w:rsid w:val="6D824B65"/>
    <w:rsid w:val="6D8D003D"/>
    <w:rsid w:val="6DAF3DBB"/>
    <w:rsid w:val="6DB63E53"/>
    <w:rsid w:val="6E4C56BF"/>
    <w:rsid w:val="6E652C44"/>
    <w:rsid w:val="6F63232D"/>
    <w:rsid w:val="6FBD4AE4"/>
    <w:rsid w:val="6FC84312"/>
    <w:rsid w:val="6FD06E9E"/>
    <w:rsid w:val="6FFB61E5"/>
    <w:rsid w:val="705B2045"/>
    <w:rsid w:val="706F478E"/>
    <w:rsid w:val="70C12E1C"/>
    <w:rsid w:val="719B478C"/>
    <w:rsid w:val="71B65C49"/>
    <w:rsid w:val="71FE226D"/>
    <w:rsid w:val="72795D03"/>
    <w:rsid w:val="72911C8A"/>
    <w:rsid w:val="72D26EDD"/>
    <w:rsid w:val="737A5923"/>
    <w:rsid w:val="73B27818"/>
    <w:rsid w:val="740D0301"/>
    <w:rsid w:val="742256B5"/>
    <w:rsid w:val="749E19FA"/>
    <w:rsid w:val="74CC6652"/>
    <w:rsid w:val="750D6901"/>
    <w:rsid w:val="751A73BE"/>
    <w:rsid w:val="75872D63"/>
    <w:rsid w:val="76236804"/>
    <w:rsid w:val="762435C9"/>
    <w:rsid w:val="767D5E56"/>
    <w:rsid w:val="76B34E76"/>
    <w:rsid w:val="76FE1CCD"/>
    <w:rsid w:val="77054507"/>
    <w:rsid w:val="77760FDF"/>
    <w:rsid w:val="778C3B11"/>
    <w:rsid w:val="778E7DD4"/>
    <w:rsid w:val="77AA035D"/>
    <w:rsid w:val="77B92605"/>
    <w:rsid w:val="77B9649D"/>
    <w:rsid w:val="77C57CB7"/>
    <w:rsid w:val="78120820"/>
    <w:rsid w:val="78A349CD"/>
    <w:rsid w:val="79BC14BA"/>
    <w:rsid w:val="79D00993"/>
    <w:rsid w:val="7A3504BF"/>
    <w:rsid w:val="7A5936B3"/>
    <w:rsid w:val="7A76650F"/>
    <w:rsid w:val="7B0F7299"/>
    <w:rsid w:val="7B1014F4"/>
    <w:rsid w:val="7B704F19"/>
    <w:rsid w:val="7B7D2454"/>
    <w:rsid w:val="7B87793C"/>
    <w:rsid w:val="7B8A5DBB"/>
    <w:rsid w:val="7B8B4B71"/>
    <w:rsid w:val="7BD5342C"/>
    <w:rsid w:val="7BF960BE"/>
    <w:rsid w:val="7C86743B"/>
    <w:rsid w:val="7CA878C1"/>
    <w:rsid w:val="7D0B583E"/>
    <w:rsid w:val="7D1419ED"/>
    <w:rsid w:val="7D97109A"/>
    <w:rsid w:val="7E5A2B8F"/>
    <w:rsid w:val="7E5E211B"/>
    <w:rsid w:val="7E872CD6"/>
    <w:rsid w:val="7E8D6E52"/>
    <w:rsid w:val="7ECD1316"/>
    <w:rsid w:val="7F480FCB"/>
    <w:rsid w:val="7F4C7B0C"/>
    <w:rsid w:val="7F9325A5"/>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50" w:afterLines="50"/>
      <w:ind w:firstLine="550"/>
      <w:outlineLvl w:val="1"/>
    </w:pPr>
    <w:rPr>
      <w:rFonts w:hint="eastAsia" w:ascii="宋体" w:hAnsi="宋体"/>
      <w:b/>
      <w:kern w:val="0"/>
      <w:sz w:val="28"/>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Arial" w:hAnsi="Arial" w:eastAsia="黑体"/>
      <w:b/>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573"/>
    </w:pPr>
    <w:rPr>
      <w:rFonts w:ascii="宋体" w:hAnsi="宋体"/>
      <w:sz w:val="28"/>
    </w:rPr>
  </w:style>
  <w:style w:type="paragraph" w:styleId="6">
    <w:name w:val="Normal Indent"/>
    <w:basedOn w:val="1"/>
    <w:qFormat/>
    <w:uiPriority w:val="0"/>
    <w:pPr>
      <w:adjustRightInd w:val="0"/>
      <w:spacing w:line="360" w:lineRule="auto"/>
      <w:ind w:firstLine="420"/>
      <w:textAlignment w:val="baseline"/>
    </w:pPr>
    <w:rPr>
      <w:rFonts w:ascii="仿宋_GB2312" w:hAnsi="Arial Black" w:eastAsia="仿宋_GB2312"/>
      <w:sz w:val="28"/>
      <w:szCs w:val="20"/>
    </w:rPr>
  </w:style>
  <w:style w:type="paragraph" w:styleId="7">
    <w:name w:val="caption"/>
    <w:basedOn w:val="1"/>
    <w:next w:val="1"/>
    <w:qFormat/>
    <w:uiPriority w:val="0"/>
    <w:pPr>
      <w:spacing w:before="120" w:line="360" w:lineRule="auto"/>
      <w:jc w:val="center"/>
    </w:pPr>
    <w:rPr>
      <w:rFonts w:eastAsia="黑体"/>
      <w:szCs w:val="20"/>
    </w:rPr>
  </w:style>
  <w:style w:type="paragraph" w:styleId="8">
    <w:name w:val="annotation text"/>
    <w:basedOn w:val="1"/>
    <w:qFormat/>
    <w:uiPriority w:val="0"/>
    <w:pPr>
      <w:jc w:val="left"/>
    </w:pPr>
  </w:style>
  <w:style w:type="paragraph" w:styleId="9">
    <w:name w:val="Body Text"/>
    <w:basedOn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11"/>
    <w:qFormat/>
    <w:uiPriority w:val="0"/>
    <w:pPr>
      <w:spacing w:after="120"/>
      <w:ind w:left="420" w:leftChars="200"/>
    </w:pPr>
    <w:rPr>
      <w:kern w:val="0"/>
      <w:sz w:val="24"/>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Plain Text"/>
    <w:basedOn w:val="1"/>
    <w:qFormat/>
    <w:uiPriority w:val="0"/>
    <w:pPr>
      <w:autoSpaceDE w:val="0"/>
      <w:autoSpaceDN w:val="0"/>
      <w:adjustRightInd w:val="0"/>
      <w:spacing w:line="360" w:lineRule="atLeast"/>
      <w:textAlignment w:val="baseline"/>
    </w:pPr>
    <w:rPr>
      <w:rFonts w:ascii="宋体"/>
      <w:szCs w:val="20"/>
    </w:rPr>
  </w:style>
  <w:style w:type="paragraph" w:styleId="13">
    <w:name w:val="footer"/>
    <w:basedOn w:val="1"/>
    <w:next w:val="1"/>
    <w:qFormat/>
    <w:uiPriority w:val="99"/>
    <w:pPr>
      <w:tabs>
        <w:tab w:val="center" w:pos="4153"/>
        <w:tab w:val="right" w:pos="8306"/>
      </w:tabs>
      <w:snapToGrid w:val="0"/>
      <w:jc w:val="left"/>
    </w:pPr>
    <w:rPr>
      <w:kern w:val="0"/>
      <w:sz w:val="18"/>
      <w:szCs w:val="20"/>
    </w:rPr>
  </w:style>
  <w:style w:type="paragraph" w:styleId="14">
    <w:name w:val="envelope return"/>
    <w:basedOn w:val="1"/>
    <w:semiHidden/>
    <w:qFormat/>
    <w:uiPriority w:val="0"/>
    <w:pPr>
      <w:snapToGrid w:val="0"/>
    </w:pPr>
    <w:rPr>
      <w:rFonts w:ascii="Arial" w:hAnsi="Arial" w:cs="Arial"/>
    </w:rPr>
  </w:style>
  <w:style w:type="paragraph" w:styleId="15">
    <w:name w:val="Body Text 2"/>
    <w:basedOn w:val="1"/>
    <w:qFormat/>
    <w:uiPriority w:val="0"/>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7">
    <w:name w:val="Body Text First Indent"/>
    <w:basedOn w:val="9"/>
    <w:next w:val="1"/>
    <w:qFormat/>
    <w:uiPriority w:val="0"/>
    <w:pPr>
      <w:widowControl w:val="0"/>
      <w:adjustRightInd w:val="0"/>
      <w:snapToGrid/>
      <w:spacing w:before="0" w:after="120" w:line="360" w:lineRule="atLeast"/>
      <w:ind w:right="0" w:firstLine="420" w:firstLineChars="100"/>
      <w:textAlignment w:val="baseline"/>
    </w:pPr>
    <w:rPr>
      <w:kern w:val="2"/>
      <w:sz w:val="21"/>
      <w:szCs w:val="24"/>
    </w:rPr>
  </w:style>
  <w:style w:type="paragraph" w:styleId="18">
    <w:name w:val="Body Text First Indent 2"/>
    <w:basedOn w:val="10"/>
    <w:next w:val="1"/>
    <w:qFormat/>
    <w:uiPriority w:val="0"/>
    <w:pPr>
      <w:spacing w:after="120" w:line="240" w:lineRule="auto"/>
      <w:ind w:left="420" w:leftChars="200" w:firstLine="420"/>
    </w:pPr>
    <w:rPr>
      <w:rFonts w:ascii="宋体" w:hAnsi="宋体"/>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95758"/>
      <w:u w:val="none"/>
    </w:rPr>
  </w:style>
  <w:style w:type="character" w:styleId="24">
    <w:name w:val="Emphasis"/>
    <w:basedOn w:val="21"/>
    <w:qFormat/>
    <w:uiPriority w:val="0"/>
  </w:style>
  <w:style w:type="character" w:styleId="25">
    <w:name w:val="Hyperlink"/>
    <w:qFormat/>
    <w:uiPriority w:val="99"/>
    <w:rPr>
      <w:color w:val="3366CC"/>
      <w:u w:val="single"/>
    </w:rPr>
  </w:style>
  <w:style w:type="character" w:styleId="26">
    <w:name w:val="annotation reference"/>
    <w:qFormat/>
    <w:uiPriority w:val="0"/>
    <w:rPr>
      <w:sz w:val="21"/>
      <w:szCs w:val="21"/>
    </w:rPr>
  </w:style>
  <w:style w:type="paragraph" w:customStyle="1" w:styleId="27">
    <w:name w:val="报告表正文"/>
    <w:basedOn w:val="1"/>
    <w:qFormat/>
    <w:uiPriority w:val="0"/>
    <w:pPr>
      <w:spacing w:line="520" w:lineRule="exact"/>
      <w:ind w:firstLine="200" w:firstLineChars="200"/>
    </w:pPr>
    <w:rPr>
      <w:sz w:val="24"/>
    </w:rPr>
  </w:style>
  <w:style w:type="paragraph" w:customStyle="1" w:styleId="28">
    <w:name w:val="Default"/>
    <w:basedOn w:val="29"/>
    <w:next w:val="30"/>
    <w:qFormat/>
    <w:uiPriority w:val="0"/>
    <w:pPr>
      <w:widowControl w:val="0"/>
      <w:autoSpaceDE w:val="0"/>
      <w:autoSpaceDN w:val="0"/>
      <w:adjustRightInd w:val="0"/>
      <w:spacing w:line="360" w:lineRule="atLeast"/>
      <w:jc w:val="both"/>
      <w:textAlignment w:val="baseline"/>
    </w:pPr>
    <w:rPr>
      <w:rFonts w:ascii="宋体" w:hAnsi="Times New Roman" w:eastAsia="宋体" w:cs="宋体"/>
      <w:color w:val="000000"/>
      <w:sz w:val="24"/>
      <w:szCs w:val="24"/>
      <w:lang w:val="en-US" w:eastAsia="zh-CN" w:bidi="ar-SA"/>
    </w:rPr>
  </w:style>
  <w:style w:type="paragraph" w:customStyle="1" w:styleId="29">
    <w:name w:val="标题2"/>
    <w:basedOn w:val="3"/>
    <w:next w:val="1"/>
    <w:qFormat/>
    <w:uiPriority w:val="0"/>
    <w:pPr>
      <w:numPr>
        <w:ilvl w:val="1"/>
        <w:numId w:val="1"/>
      </w:numPr>
      <w:spacing w:before="0" w:after="0" w:line="440" w:lineRule="exact"/>
    </w:pPr>
    <w:rPr>
      <w:kern w:val="0"/>
      <w:sz w:val="28"/>
    </w:rPr>
  </w:style>
  <w:style w:type="paragraph" w:customStyle="1" w:styleId="30">
    <w:name w:val="Char Char Char Char Char Char1 Char Char Char Char"/>
    <w:basedOn w:val="1"/>
    <w:next w:val="1"/>
    <w:semiHidden/>
    <w:qFormat/>
    <w:uiPriority w:val="0"/>
    <w:pPr>
      <w:spacing w:line="360" w:lineRule="auto"/>
      <w:ind w:firstLine="200" w:firstLineChars="200"/>
    </w:pPr>
    <w:rPr>
      <w:rFonts w:ascii="宋体" w:hAnsi="宋体" w:cs="宋体"/>
      <w:szCs w:val="21"/>
    </w:rPr>
  </w:style>
  <w:style w:type="paragraph" w:customStyle="1" w:styleId="31">
    <w:name w:val="排版"/>
    <w:basedOn w:val="1"/>
    <w:qFormat/>
    <w:uiPriority w:val="0"/>
    <w:pPr>
      <w:spacing w:line="480" w:lineRule="exact"/>
      <w:ind w:firstLine="480" w:firstLineChars="200"/>
    </w:pPr>
    <w:rPr>
      <w:sz w:val="24"/>
    </w:rPr>
  </w:style>
  <w:style w:type="paragraph" w:customStyle="1" w:styleId="32">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3">
    <w:name w:val="表格"/>
    <w:basedOn w:val="34"/>
    <w:next w:val="1"/>
    <w:qFormat/>
    <w:uiPriority w:val="0"/>
    <w:pPr>
      <w:tabs>
        <w:tab w:val="left" w:pos="1571"/>
      </w:tabs>
      <w:adjustRightInd w:val="0"/>
      <w:snapToGrid w:val="0"/>
      <w:spacing w:beforeLines="10" w:afterLines="10" w:line="259" w:lineRule="auto"/>
      <w:jc w:val="center"/>
    </w:pPr>
    <w:rPr>
      <w:rFonts w:ascii="宋体"/>
      <w:kern w:val="0"/>
      <w:szCs w:val="20"/>
    </w:rPr>
  </w:style>
  <w:style w:type="paragraph" w:customStyle="1" w:styleId="34">
    <w:name w:val="样式1"/>
    <w:basedOn w:val="4"/>
    <w:qFormat/>
    <w:uiPriority w:val="0"/>
    <w:pPr>
      <w:keepNext w:val="0"/>
      <w:keepLines w:val="0"/>
      <w:numPr>
        <w:ilvl w:val="2"/>
        <w:numId w:val="0"/>
      </w:numPr>
      <w:tabs>
        <w:tab w:val="left" w:pos="1571"/>
      </w:tabs>
      <w:adjustRightInd/>
      <w:spacing w:before="0" w:after="0" w:line="600" w:lineRule="exact"/>
      <w:ind w:left="1418"/>
      <w:textAlignment w:val="auto"/>
    </w:pPr>
    <w:rPr>
      <w:rFonts w:eastAsia="楷体_GB2312"/>
      <w:spacing w:val="20"/>
      <w:sz w:val="30"/>
    </w:rPr>
  </w:style>
  <w:style w:type="paragraph" w:customStyle="1" w:styleId="35">
    <w:name w:val="本文正文"/>
    <w:basedOn w:val="1"/>
    <w:qFormat/>
    <w:uiPriority w:val="0"/>
    <w:pPr>
      <w:autoSpaceDE w:val="0"/>
      <w:autoSpaceDN w:val="0"/>
      <w:adjustRightInd w:val="0"/>
      <w:snapToGrid w:val="0"/>
      <w:spacing w:line="300" w:lineRule="auto"/>
      <w:ind w:firstLine="560" w:firstLineChars="200"/>
      <w:textAlignment w:val="baseline"/>
    </w:pPr>
    <w:rPr>
      <w:rFonts w:ascii="Calibri" w:hAnsi="Calibri"/>
      <w:sz w:val="28"/>
      <w:szCs w:val="20"/>
    </w:rPr>
  </w:style>
  <w:style w:type="paragraph" w:customStyle="1" w:styleId="36">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37">
    <w:name w:val="正文_3"/>
    <w:qFormat/>
    <w:uiPriority w:val="0"/>
    <w:pPr>
      <w:widowControl w:val="0"/>
      <w:jc w:val="both"/>
    </w:pPr>
    <w:rPr>
      <w:rFonts w:ascii="Times New Roman" w:hAnsi="Times New Roman" w:eastAsia="宋体" w:cs="Times New Roman"/>
      <w:kern w:val="2"/>
      <w:sz w:val="21"/>
      <w:lang w:val="en-US" w:eastAsia="zh-CN" w:bidi="ar-SA"/>
    </w:rPr>
  </w:style>
  <w:style w:type="paragraph" w:styleId="38">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39">
    <w:name w:val="p0"/>
    <w:basedOn w:val="1"/>
    <w:qFormat/>
    <w:uiPriority w:val="0"/>
    <w:pPr>
      <w:widowControl/>
    </w:pPr>
    <w:rPr>
      <w:kern w:val="0"/>
      <w:szCs w:val="21"/>
    </w:rPr>
  </w:style>
  <w:style w:type="paragraph" w:customStyle="1" w:styleId="40">
    <w:name w:val="表格 32"/>
    <w:basedOn w:val="1"/>
    <w:qFormat/>
    <w:uiPriority w:val="0"/>
    <w:pPr>
      <w:autoSpaceDE w:val="0"/>
      <w:autoSpaceDN w:val="0"/>
      <w:adjustRightInd w:val="0"/>
      <w:jc w:val="center"/>
      <w:textAlignment w:val="baseline"/>
    </w:pPr>
    <w:rPr>
      <w:rFonts w:eastAsia="楷体_GB2312"/>
      <w:kern w:val="0"/>
      <w:sz w:val="24"/>
      <w:szCs w:val="20"/>
    </w:rPr>
  </w:style>
  <w:style w:type="paragraph" w:customStyle="1" w:styleId="41">
    <w:name w:val="正文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4正文 Char"/>
    <w:basedOn w:val="1"/>
    <w:qFormat/>
    <w:uiPriority w:val="0"/>
    <w:pPr>
      <w:spacing w:line="360" w:lineRule="auto"/>
      <w:ind w:firstLine="480" w:firstLineChars="200"/>
    </w:pPr>
    <w:rPr>
      <w:sz w:val="24"/>
      <w:szCs w:val="20"/>
    </w:rPr>
  </w:style>
  <w:style w:type="paragraph" w:customStyle="1" w:styleId="43">
    <w:name w:val="正文文字"/>
    <w:basedOn w:val="1"/>
    <w:qFormat/>
    <w:uiPriority w:val="0"/>
    <w:pPr>
      <w:spacing w:line="560" w:lineRule="exact"/>
      <w:ind w:firstLine="200" w:firstLineChars="200"/>
    </w:pPr>
    <w:rPr>
      <w:sz w:val="24"/>
      <w:szCs w:val="20"/>
    </w:rPr>
  </w:style>
  <w:style w:type="paragraph" w:customStyle="1" w:styleId="44">
    <w:name w:val="A正文"/>
    <w:basedOn w:val="1"/>
    <w:qFormat/>
    <w:uiPriority w:val="0"/>
    <w:pPr>
      <w:spacing w:line="360" w:lineRule="auto"/>
      <w:ind w:firstLine="200" w:firstLineChars="200"/>
    </w:pPr>
    <w:rPr>
      <w:sz w:val="24"/>
    </w:rPr>
  </w:style>
  <w:style w:type="paragraph" w:customStyle="1" w:styleId="45">
    <w:name w:val="亳州样式 HP正文"/>
    <w:basedOn w:val="46"/>
    <w:qFormat/>
    <w:uiPriority w:val="0"/>
    <w:pPr>
      <w:adjustRightInd/>
      <w:spacing w:line="360" w:lineRule="auto"/>
      <w:ind w:firstLine="480" w:firstLineChars="200"/>
      <w:textAlignment w:val="auto"/>
    </w:pPr>
    <w:rPr>
      <w:rFonts w:ascii="黑体" w:hAnsi="黑体" w:eastAsia="黑体" w:cs="宋体"/>
      <w:color w:val="000000"/>
      <w:kern w:val="0"/>
      <w:sz w:val="24"/>
    </w:rPr>
  </w:style>
  <w:style w:type="paragraph" w:customStyle="1" w:styleId="46">
    <w:name w:val="HP正文"/>
    <w:basedOn w:val="1"/>
    <w:qFormat/>
    <w:uiPriority w:val="0"/>
    <w:pPr>
      <w:spacing w:line="360" w:lineRule="auto"/>
      <w:ind w:firstLine="480" w:firstLineChars="200"/>
    </w:pPr>
    <w:rPr>
      <w:rFonts w:eastAsia="宋体"/>
      <w:szCs w:val="24"/>
    </w:rPr>
  </w:style>
  <w:style w:type="paragraph" w:customStyle="1" w:styleId="47">
    <w:name w:val="表内式样"/>
    <w:qFormat/>
    <w:uiPriority w:val="0"/>
    <w:pPr>
      <w:widowControl w:val="0"/>
      <w:jc w:val="center"/>
    </w:pPr>
    <w:rPr>
      <w:rFonts w:ascii="宋体" w:hAnsi="宋体" w:eastAsia="宋体" w:cs="Times New Roman"/>
      <w:kern w:val="2"/>
      <w:sz w:val="21"/>
      <w:szCs w:val="21"/>
      <w:lang w:val="en-US" w:eastAsia="zh-CN" w:bidi="ar-SA"/>
    </w:rPr>
  </w:style>
  <w:style w:type="paragraph" w:customStyle="1" w:styleId="48">
    <w:name w:val="亳州表文字"/>
    <w:basedOn w:val="1"/>
    <w:qFormat/>
    <w:uiPriority w:val="0"/>
    <w:pPr>
      <w:tabs>
        <w:tab w:val="left" w:pos="945"/>
        <w:tab w:val="right" w:leader="dot" w:pos="1155"/>
        <w:tab w:val="left" w:pos="8715"/>
      </w:tabs>
      <w:snapToGrid w:val="0"/>
      <w:spacing w:line="240" w:lineRule="auto"/>
      <w:jc w:val="center"/>
    </w:pPr>
    <w:rPr>
      <w:rFonts w:ascii="宋体" w:hAnsi="宋体" w:cs="宋体"/>
      <w:snapToGrid w:val="0"/>
      <w:kern w:val="0"/>
      <w:szCs w:val="21"/>
    </w:rPr>
  </w:style>
  <w:style w:type="paragraph" w:customStyle="1" w:styleId="49">
    <w:name w:val="表格文字"/>
    <w:basedOn w:val="9"/>
    <w:next w:val="1"/>
    <w:qFormat/>
    <w:uiPriority w:val="0"/>
    <w:pPr>
      <w:adjustRightInd w:val="0"/>
      <w:spacing w:line="400" w:lineRule="atLeast"/>
      <w:jc w:val="center"/>
    </w:pPr>
    <w:rPr>
      <w:kern w:val="24"/>
      <w:sz w:val="24"/>
    </w:rPr>
  </w:style>
  <w:style w:type="table" w:customStyle="1" w:styleId="50">
    <w:name w:val="Table Normal"/>
    <w:unhideWhenUsed/>
    <w:qFormat/>
    <w:uiPriority w:val="2"/>
    <w:tblPr>
      <w:tblCellMar>
        <w:top w:w="0" w:type="dxa"/>
        <w:left w:w="0" w:type="dxa"/>
        <w:bottom w:w="0" w:type="dxa"/>
        <w:right w:w="0" w:type="dxa"/>
      </w:tblCellMar>
    </w:tblPr>
  </w:style>
  <w:style w:type="paragraph" w:customStyle="1" w:styleId="51">
    <w:name w:val="中文报告书样式"/>
    <w:basedOn w:val="1"/>
    <w:qFormat/>
    <w:uiPriority w:val="0"/>
    <w:pPr>
      <w:spacing w:line="480" w:lineRule="atLeast"/>
      <w:ind w:firstLine="482"/>
    </w:pPr>
    <w:rPr>
      <w:kern w:val="24"/>
      <w:sz w:val="24"/>
      <w:szCs w:val="20"/>
    </w:rPr>
  </w:style>
  <w:style w:type="paragraph" w:customStyle="1" w:styleId="52">
    <w:name w:val="标题4"/>
    <w:basedOn w:val="1"/>
    <w:qFormat/>
    <w:uiPriority w:val="0"/>
    <w:pPr>
      <w:spacing w:line="480" w:lineRule="exact"/>
      <w:ind w:firstLine="200" w:firstLineChars="200"/>
      <w:jc w:val="left"/>
      <w:outlineLvl w:val="3"/>
    </w:pPr>
    <w:rPr>
      <w:rFonts w:eastAsia="Times New Roman"/>
      <w:b/>
      <w:sz w:val="24"/>
      <w:szCs w:val="28"/>
    </w:rPr>
  </w:style>
  <w:style w:type="paragraph" w:customStyle="1" w:styleId="53">
    <w:name w:val="报告正文"/>
    <w:basedOn w:val="1"/>
    <w:link w:val="54"/>
    <w:qFormat/>
    <w:uiPriority w:val="0"/>
    <w:pPr>
      <w:spacing w:line="276" w:lineRule="auto"/>
      <w:ind w:firstLine="452" w:firstLineChars="200"/>
      <w:jc w:val="center"/>
    </w:pPr>
    <w:rPr>
      <w:spacing w:val="8"/>
      <w:kern w:val="0"/>
      <w:szCs w:val="21"/>
    </w:rPr>
  </w:style>
  <w:style w:type="character" w:customStyle="1" w:styleId="54">
    <w:name w:val="报告正文 Char"/>
    <w:link w:val="53"/>
    <w:qFormat/>
    <w:uiPriority w:val="0"/>
    <w:rPr>
      <w:spacing w:val="8"/>
      <w:kern w:val="0"/>
      <w:szCs w:val="21"/>
    </w:rPr>
  </w:style>
  <w:style w:type="paragraph" w:customStyle="1" w:styleId="55">
    <w:name w:val="WPS Plain"/>
    <w:qFormat/>
    <w:uiPriority w:val="0"/>
    <w:rPr>
      <w:rFonts w:ascii="Times New Roman" w:hAnsi="Times New Roman" w:eastAsia="宋体" w:cs="Times New Roman"/>
      <w:lang w:val="en-US" w:eastAsia="zh-CN" w:bidi="ar-SA"/>
    </w:rPr>
  </w:style>
  <w:style w:type="paragraph" w:customStyle="1" w:styleId="5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58">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61">
    <w:name w:val="正文_14"/>
    <w:qFormat/>
    <w:uiPriority w:val="0"/>
    <w:pPr>
      <w:widowControl w:val="0"/>
      <w:jc w:val="both"/>
    </w:pPr>
    <w:rPr>
      <w:rFonts w:ascii="Calibri" w:hAnsi="Calibri" w:eastAsia="宋体" w:cs="Times New Roman"/>
      <w:kern w:val="2"/>
      <w:sz w:val="21"/>
      <w:lang w:val="en-US" w:eastAsia="zh-CN" w:bidi="ar-SA"/>
    </w:rPr>
  </w:style>
  <w:style w:type="paragraph" w:customStyle="1" w:styleId="62">
    <w:name w:val="正文_13"/>
    <w:qFormat/>
    <w:uiPriority w:val="0"/>
    <w:pPr>
      <w:widowControl w:val="0"/>
      <w:jc w:val="both"/>
    </w:pPr>
    <w:rPr>
      <w:rFonts w:ascii="Calibri" w:hAnsi="Calibri" w:eastAsia="宋体" w:cs="Times New Roman"/>
      <w:kern w:val="2"/>
      <w:sz w:val="21"/>
      <w:lang w:val="en-US" w:eastAsia="zh-CN" w:bidi="ar-SA"/>
    </w:rPr>
  </w:style>
  <w:style w:type="paragraph" w:customStyle="1" w:styleId="63">
    <w:name w:val="正文_12"/>
    <w:qFormat/>
    <w:uiPriority w:val="0"/>
    <w:pPr>
      <w:widowControl w:val="0"/>
      <w:jc w:val="both"/>
    </w:pPr>
    <w:rPr>
      <w:rFonts w:ascii="Calibri" w:hAnsi="Calibri" w:eastAsia="宋体" w:cs="Times New Roman"/>
      <w:kern w:val="2"/>
      <w:sz w:val="21"/>
      <w:lang w:val="en-US" w:eastAsia="zh-CN" w:bidi="ar-SA"/>
    </w:rPr>
  </w:style>
  <w:style w:type="paragraph" w:customStyle="1" w:styleId="64">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65">
    <w:name w:val="正文_18"/>
    <w:qFormat/>
    <w:uiPriority w:val="0"/>
    <w:pPr>
      <w:widowControl w:val="0"/>
      <w:jc w:val="both"/>
    </w:pPr>
    <w:rPr>
      <w:rFonts w:ascii="等线" w:hAnsi="等线" w:eastAsia="等线" w:cs="Times New Roman"/>
      <w:kern w:val="2"/>
      <w:sz w:val="21"/>
      <w:szCs w:val="22"/>
      <w:lang w:val="en-US" w:eastAsia="zh-CN" w:bidi="ar-SA"/>
    </w:rPr>
  </w:style>
  <w:style w:type="paragraph" w:customStyle="1" w:styleId="66">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67">
    <w:name w:val="文本"/>
    <w:basedOn w:val="1"/>
    <w:qFormat/>
    <w:uiPriority w:val="0"/>
    <w:pPr>
      <w:adjustRightInd w:val="0"/>
      <w:snapToGrid w:val="0"/>
      <w:spacing w:line="360" w:lineRule="auto"/>
      <w:ind w:firstLine="420" w:firstLineChars="200"/>
    </w:pPr>
    <w:rPr>
      <w:rFonts w:ascii="Times New Roman" w:hAnsi="Times New Roman" w:eastAsia="宋体" w:cs="Times New Roman"/>
      <w:color w:val="000000"/>
      <w:sz w:val="24"/>
    </w:rPr>
  </w:style>
  <w:style w:type="paragraph" w:customStyle="1" w:styleId="68">
    <w:name w:val="4表头、图头格式"/>
    <w:basedOn w:val="1"/>
    <w:qFormat/>
    <w:uiPriority w:val="0"/>
    <w:pPr>
      <w:spacing w:line="360" w:lineRule="auto"/>
      <w:jc w:val="center"/>
    </w:pPr>
    <w:rPr>
      <w:rFonts w:ascii="Times New Roman" w:hAnsi="Times New Roman" w:eastAsia="宋体" w:cs="Times New Roman"/>
      <w:b/>
      <w:szCs w:val="21"/>
    </w:rPr>
  </w:style>
  <w:style w:type="paragraph" w:customStyle="1" w:styleId="69">
    <w:name w:val="li_正文"/>
    <w:basedOn w:val="1"/>
    <w:qFormat/>
    <w:uiPriority w:val="0"/>
    <w:pPr>
      <w:widowControl/>
      <w:tabs>
        <w:tab w:val="left" w:pos="2574"/>
      </w:tabs>
      <w:overflowPunct w:val="0"/>
      <w:topLinePunct/>
      <w:adjustRightInd/>
      <w:snapToGrid/>
      <w:spacing w:line="240" w:lineRule="auto"/>
      <w:ind w:firstLine="560" w:firstLineChars="200"/>
      <w:jc w:val="left"/>
    </w:pPr>
    <w:rPr>
      <w:snapToGrid/>
      <w:sz w:val="28"/>
      <w:szCs w:val="28"/>
    </w:rPr>
  </w:style>
  <w:style w:type="paragraph" w:customStyle="1" w:styleId="70">
    <w:name w:val="正文内容"/>
    <w:basedOn w:val="1"/>
    <w:qFormat/>
    <w:uiPriority w:val="0"/>
    <w:pPr>
      <w:spacing w:line="360" w:lineRule="auto"/>
      <w:ind w:firstLine="200" w:firstLineChars="200"/>
    </w:pPr>
    <w:rPr>
      <w:sz w:val="24"/>
    </w:rPr>
  </w:style>
  <w:style w:type="character" w:customStyle="1" w:styleId="71">
    <w:name w:val="font11"/>
    <w:basedOn w:val="21"/>
    <w:qFormat/>
    <w:uiPriority w:val="0"/>
    <w:rPr>
      <w:rFonts w:hint="default" w:ascii="Times New Roman" w:hAnsi="Times New Roman" w:cs="Times New Roman"/>
      <w:color w:val="000000"/>
      <w:sz w:val="21"/>
      <w:szCs w:val="21"/>
      <w:u w:val="none"/>
    </w:rPr>
  </w:style>
  <w:style w:type="character" w:customStyle="1" w:styleId="72">
    <w:name w:val="font21"/>
    <w:basedOn w:val="21"/>
    <w:qFormat/>
    <w:uiPriority w:val="0"/>
    <w:rPr>
      <w:rFonts w:hint="eastAsia" w:ascii="宋体" w:hAnsi="宋体" w:eastAsia="宋体" w:cs="宋体"/>
      <w:color w:val="000000"/>
      <w:sz w:val="21"/>
      <w:szCs w:val="21"/>
      <w:u w:val="none"/>
    </w:rPr>
  </w:style>
  <w:style w:type="character" w:customStyle="1" w:styleId="73">
    <w:name w:val="font31"/>
    <w:basedOn w:val="21"/>
    <w:qFormat/>
    <w:uiPriority w:val="0"/>
    <w:rPr>
      <w:rFonts w:hint="default" w:ascii="Times New Roman" w:hAnsi="Times New Roman" w:cs="Times New Roman"/>
      <w:color w:val="000000"/>
      <w:sz w:val="21"/>
      <w:szCs w:val="21"/>
      <w:u w:val="none"/>
      <w:vertAlign w:val="superscript"/>
    </w:rPr>
  </w:style>
  <w:style w:type="paragraph" w:styleId="74">
    <w:name w:val="List Paragraph"/>
    <w:basedOn w:val="1"/>
    <w:qFormat/>
    <w:uiPriority w:val="34"/>
    <w:pPr>
      <w:ind w:firstLine="420" w:firstLineChars="200"/>
    </w:pPr>
    <w:rPr>
      <w:rFonts w:ascii="Calibri" w:hAnsi="Calibri"/>
      <w:szCs w:val="22"/>
    </w:rPr>
  </w:style>
  <w:style w:type="paragraph" w:customStyle="1" w:styleId="75">
    <w:name w:val="表格标题（居中）"/>
    <w:basedOn w:val="12"/>
    <w:qFormat/>
    <w:uiPriority w:val="0"/>
    <w:pPr>
      <w:tabs>
        <w:tab w:val="left" w:pos="720"/>
      </w:tabs>
      <w:adjustRightInd w:val="0"/>
      <w:snapToGrid w:val="0"/>
      <w:spacing w:beforeLines="50" w:afterLines="50"/>
      <w:ind w:left="425" w:hanging="425"/>
      <w:jc w:val="center"/>
    </w:pPr>
    <w:rPr>
      <w:rFonts w:ascii="Times New Roman" w:hAnsi="Times New Roman" w:eastAsia="黑体"/>
      <w:color w:val="000000"/>
      <w:sz w:val="24"/>
    </w:rPr>
  </w:style>
  <w:style w:type="paragraph" w:customStyle="1" w:styleId="76">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character" w:customStyle="1" w:styleId="77">
    <w:name w:val="NormalCharacter"/>
    <w:semiHidden/>
    <w:qFormat/>
    <w:uiPriority w:val="0"/>
  </w:style>
  <w:style w:type="character" w:customStyle="1" w:styleId="78">
    <w:name w:val="checkbox2"/>
    <w:basedOn w:val="21"/>
    <w:qFormat/>
    <w:uiPriority w:val="0"/>
  </w:style>
  <w:style w:type="character" w:customStyle="1" w:styleId="79">
    <w:name w:val="checkbox"/>
    <w:basedOn w:val="21"/>
    <w:qFormat/>
    <w:uiPriority w:val="0"/>
  </w:style>
  <w:style w:type="paragraph" w:customStyle="1" w:styleId="80">
    <w:name w:val="报告表格"/>
    <w:basedOn w:val="1"/>
    <w:next w:val="53"/>
    <w:qFormat/>
    <w:uiPriority w:val="0"/>
    <w:pPr>
      <w:autoSpaceDE w:val="0"/>
      <w:autoSpaceDN w:val="0"/>
      <w:adjustRightInd w:val="0"/>
      <w:snapToGrid w:val="0"/>
      <w:spacing w:line="240" w:lineRule="auto"/>
      <w:ind w:firstLine="0" w:firstLineChars="0"/>
      <w:jc w:val="center"/>
    </w:pPr>
    <w:rPr>
      <w:rFonts w:hint="eastAsia" w:ascii="Times New Roman" w:hAnsi="Times New Roman" w:eastAsia="宋体"/>
      <w:kern w:val="0"/>
      <w:szCs w:val="21"/>
    </w:rPr>
  </w:style>
  <w:style w:type="paragraph" w:customStyle="1" w:styleId="81">
    <w:name w:val="Table Text"/>
    <w:basedOn w:val="1"/>
    <w:semiHidden/>
    <w:qFormat/>
    <w:uiPriority w:val="0"/>
    <w:rPr>
      <w:rFonts w:ascii="宋体" w:hAnsi="宋体" w:eastAsia="宋体" w:cs="宋体"/>
      <w:sz w:val="20"/>
      <w:szCs w:val="20"/>
      <w:lang w:val="en-US" w:eastAsia="en-US" w:bidi="ar-SA"/>
    </w:rPr>
  </w:style>
  <w:style w:type="paragraph" w:customStyle="1" w:styleId="82">
    <w:name w:val="表格内的文字"/>
    <w:basedOn w:val="27"/>
    <w:qFormat/>
    <w:uiPriority w:val="0"/>
    <w:pPr>
      <w:spacing w:line="240" w:lineRule="auto"/>
      <w:ind w:left="-105" w:leftChars="-50" w:right="-105" w:rightChars="-50" w:firstLine="0" w:firstLineChars="0"/>
      <w:jc w:val="center"/>
    </w:pPr>
    <w:rPr>
      <w:sz w:val="21"/>
      <w:szCs w:val="21"/>
    </w:rPr>
  </w:style>
  <w:style w:type="paragraph" w:customStyle="1" w:styleId="83">
    <w:name w:val="表名"/>
    <w:basedOn w:val="1"/>
    <w:qFormat/>
    <w:uiPriority w:val="0"/>
    <w:pPr>
      <w:spacing w:before="50" w:beforeLines="50"/>
      <w:ind w:firstLine="0" w:firstLineChars="0"/>
      <w:jc w:val="center"/>
    </w:pPr>
    <w:rPr>
      <w:b/>
      <w:kern w:val="0"/>
      <w:sz w:val="21"/>
      <w:szCs w:val="21"/>
    </w:rPr>
  </w:style>
  <w:style w:type="paragraph" w:customStyle="1" w:styleId="84">
    <w:name w:val="表格表头"/>
    <w:basedOn w:val="27"/>
    <w:qFormat/>
    <w:uiPriority w:val="0"/>
    <w:pPr>
      <w:spacing w:line="240" w:lineRule="auto"/>
      <w:ind w:firstLine="0" w:firstLineChars="0"/>
      <w:jc w:val="center"/>
    </w:pPr>
    <w:rPr>
      <w:b/>
    </w:rPr>
  </w:style>
  <w:style w:type="paragraph" w:customStyle="1" w:styleId="85">
    <w:name w:val="a-表内"/>
    <w:qFormat/>
    <w:uiPriority w:val="0"/>
    <w:pPr>
      <w:adjustRightInd w:val="0"/>
      <w:snapToGrid w:val="0"/>
      <w:spacing w:line="0" w:lineRule="atLeast"/>
      <w:jc w:val="center"/>
    </w:pPr>
    <w:rPr>
      <w:rFonts w:ascii="Times New Roman" w:hAnsi="Times New Roman" w:eastAsia="宋体" w:cs="Times New Roman"/>
      <w:color w:val="000000"/>
      <w:kern w:val="2"/>
      <w:sz w:val="21"/>
      <w:szCs w:val="21"/>
      <w:lang w:val="en-US" w:eastAsia="zh-CN" w:bidi="ar-SA"/>
    </w:rPr>
  </w:style>
  <w:style w:type="paragraph" w:customStyle="1" w:styleId="86">
    <w:name w:val="0正文"/>
    <w:basedOn w:val="10"/>
    <w:next w:val="11"/>
    <w:autoRedefine/>
    <w:unhideWhenUsed/>
    <w:qFormat/>
    <w:uiPriority w:val="0"/>
    <w:pPr>
      <w:spacing w:line="360" w:lineRule="auto"/>
      <w:ind w:firstLine="720" w:firstLineChars="200"/>
    </w:pPr>
    <w:rPr>
      <w:szCs w:val="22"/>
    </w:rPr>
  </w:style>
  <w:style w:type="paragraph" w:customStyle="1" w:styleId="87">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character" w:customStyle="1" w:styleId="88">
    <w:name w:val="lishishuju"/>
    <w:basedOn w:val="21"/>
    <w:qFormat/>
    <w:uiPriority w:val="0"/>
    <w:rPr>
      <w:b/>
      <w:bCs/>
      <w:color w:val="000052"/>
      <w:sz w:val="24"/>
      <w:szCs w:val="24"/>
      <w:bdr w:val="single" w:color="E3E3E3" w:sz="6" w:space="0"/>
    </w:rPr>
  </w:style>
  <w:style w:type="character" w:customStyle="1" w:styleId="89">
    <w:name w:val="znspantitle"/>
    <w:basedOn w:val="21"/>
    <w:qFormat/>
    <w:uiPriority w:val="0"/>
    <w:rPr>
      <w:b/>
      <w:bCs/>
      <w:color w:val="333333"/>
    </w:rPr>
  </w:style>
  <w:style w:type="character" w:customStyle="1" w:styleId="90">
    <w:name w:val="lable"/>
    <w:basedOn w:val="21"/>
    <w:qFormat/>
    <w:uiPriority w:val="0"/>
    <w:rPr>
      <w:sz w:val="24"/>
      <w:szCs w:val="24"/>
    </w:rPr>
  </w:style>
  <w:style w:type="character" w:customStyle="1" w:styleId="91">
    <w:name w:val="radio-btn"/>
    <w:basedOn w:val="21"/>
    <w:qFormat/>
    <w:uiPriority w:val="0"/>
    <w:rPr>
      <w:sz w:val="24"/>
      <w:szCs w:val="24"/>
    </w:rPr>
  </w:style>
  <w:style w:type="character" w:customStyle="1" w:styleId="92">
    <w:name w:val="radio-btn1"/>
    <w:basedOn w:val="21"/>
    <w:qFormat/>
    <w:uiPriority w:val="0"/>
    <w:rPr>
      <w:sz w:val="21"/>
      <w:szCs w:val="21"/>
    </w:rPr>
  </w:style>
  <w:style w:type="character" w:customStyle="1" w:styleId="93">
    <w:name w:val="radio-btn2"/>
    <w:basedOn w:val="21"/>
    <w:qFormat/>
    <w:uiPriority w:val="0"/>
    <w:rPr>
      <w:sz w:val="24"/>
      <w:szCs w:val="24"/>
    </w:rPr>
  </w:style>
  <w:style w:type="character" w:customStyle="1" w:styleId="94">
    <w:name w:val="cur1"/>
    <w:basedOn w:val="21"/>
    <w:qFormat/>
    <w:uiPriority w:val="0"/>
    <w:rPr>
      <w:color w:val="FFFFFF"/>
      <w:shd w:val="clear" w:fill="2F6B98"/>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jpe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lumMod val="75000"/>
          </a:schemeClr>
        </a:lnRef>
        <a:fillRef idx="1">
          <a:schemeClr val="accent1"/>
        </a:fillRef>
        <a:effectRef idx="0">
          <a:srgbClr val="FFFFFF"/>
        </a:effectRef>
        <a:fontRef idx="minor">
          <a:schemeClr val="lt1"/>
        </a:fontRef>
      </a:style>
    </a:spDef>
    <a:txDef>
      <a:spPr>
        <a:no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968</Words>
  <Characters>1061</Characters>
  <Lines>1</Lines>
  <Paragraphs>1</Paragraphs>
  <TotalTime>61</TotalTime>
  <ScaleCrop>false</ScaleCrop>
  <LinksUpToDate>false</LinksUpToDate>
  <CharactersWithSpaces>1152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2021-04-07T05:37:00Z</dcterms:created>
  <dc:creator>03420</dc:creator>
  <cp:lastModifiedBy>张伟</cp:lastModifiedBy>
  <cp:lastPrinted>2024-12-10T02:50:00Z</cp:lastPrinted>
  <dcterms:modified xsi:type="dcterms:W3CDTF">2024-12-17T03:26:58Z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3CDC849FC1CB4B7BA567945DE4C80989_13</vt:lpwstr>
  </property>
</Properties>
</file>