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3C6" w:rsidRDefault="00B22871">
      <w:pPr>
        <w:spacing w:line="600" w:lineRule="exact"/>
        <w:jc w:val="center"/>
        <w:rPr>
          <w:rFonts w:ascii="宋体" w:hAnsi="宋体"/>
          <w:b/>
          <w:sz w:val="44"/>
          <w:szCs w:val="44"/>
        </w:rPr>
      </w:pPr>
      <w:r>
        <w:rPr>
          <w:rFonts w:ascii="宋体" w:hAnsi="宋体" w:hint="eastAsia"/>
          <w:b/>
          <w:sz w:val="44"/>
          <w:szCs w:val="44"/>
        </w:rPr>
        <w:t>调兵山市营商环境建设局</w:t>
      </w:r>
    </w:p>
    <w:p w:rsidR="006A33C6" w:rsidRDefault="00B22871">
      <w:pPr>
        <w:spacing w:line="600" w:lineRule="exact"/>
        <w:jc w:val="center"/>
        <w:rPr>
          <w:rFonts w:ascii="宋体" w:hAnsi="宋体"/>
          <w:b/>
          <w:sz w:val="44"/>
          <w:szCs w:val="44"/>
        </w:rPr>
      </w:pPr>
      <w:r>
        <w:rPr>
          <w:rFonts w:ascii="宋体" w:hAnsi="宋体" w:hint="eastAsia"/>
          <w:b/>
          <w:sz w:val="44"/>
          <w:szCs w:val="44"/>
        </w:rPr>
        <w:t>2024</w:t>
      </w:r>
      <w:r>
        <w:rPr>
          <w:rFonts w:ascii="宋体" w:hAnsi="宋体" w:hint="eastAsia"/>
          <w:b/>
          <w:sz w:val="44"/>
          <w:szCs w:val="44"/>
        </w:rPr>
        <w:t>年部门预算</w:t>
      </w:r>
    </w:p>
    <w:p w:rsidR="006A33C6" w:rsidRDefault="00B22871">
      <w:pPr>
        <w:spacing w:line="600" w:lineRule="exact"/>
        <w:jc w:val="center"/>
        <w:rPr>
          <w:rFonts w:ascii="宋体" w:hAnsi="宋体"/>
          <w:b/>
          <w:sz w:val="44"/>
          <w:szCs w:val="44"/>
        </w:rPr>
      </w:pPr>
      <w:r>
        <w:rPr>
          <w:rFonts w:ascii="宋体" w:hAnsi="宋体" w:hint="eastAsia"/>
          <w:b/>
          <w:sz w:val="44"/>
          <w:szCs w:val="44"/>
        </w:rPr>
        <w:t>公开细则</w:t>
      </w:r>
    </w:p>
    <w:p w:rsidR="006A33C6" w:rsidRDefault="006A33C6">
      <w:pPr>
        <w:widowControl/>
        <w:spacing w:line="560" w:lineRule="atLeast"/>
        <w:jc w:val="center"/>
        <w:rPr>
          <w:rFonts w:ascii="黑体" w:eastAsia="黑体" w:hAnsi="黑体" w:cs="宋体"/>
          <w:color w:val="000000"/>
          <w:kern w:val="0"/>
          <w:sz w:val="32"/>
          <w:szCs w:val="32"/>
        </w:rPr>
      </w:pPr>
    </w:p>
    <w:p w:rsidR="006A33C6" w:rsidRDefault="00B22871">
      <w:pPr>
        <w:widowControl/>
        <w:spacing w:line="560" w:lineRule="atLeast"/>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目</w:t>
      </w:r>
      <w:r>
        <w:rPr>
          <w:rFonts w:ascii="仿宋" w:eastAsia="仿宋" w:hAnsi="仿宋" w:cs="仿宋" w:hint="eastAsia"/>
          <w:color w:val="000000"/>
          <w:kern w:val="0"/>
          <w:sz w:val="28"/>
          <w:szCs w:val="28"/>
        </w:rPr>
        <w:t>    </w:t>
      </w:r>
      <w:r>
        <w:rPr>
          <w:rFonts w:ascii="仿宋" w:eastAsia="仿宋" w:hAnsi="仿宋" w:cs="仿宋" w:hint="eastAsia"/>
          <w:color w:val="000000"/>
          <w:kern w:val="0"/>
          <w:sz w:val="28"/>
          <w:szCs w:val="28"/>
        </w:rPr>
        <w:t>录</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第一部分</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调兵山市营商环境建设局单位概况</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w:t>
      </w:r>
      <w:r>
        <w:rPr>
          <w:rFonts w:ascii="仿宋" w:eastAsia="仿宋" w:hAnsi="仿宋" w:cs="仿宋" w:hint="eastAsia"/>
          <w:color w:val="2B3F59"/>
          <w:sz w:val="28"/>
          <w:szCs w:val="28"/>
          <w:shd w:val="clear" w:color="auto" w:fill="FFFFFF"/>
        </w:rPr>
        <w:t>主要职责</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贯彻落实党中央、国务院关于加强和优化营商环境建设的方针政策和相关法律法规及省委、铁岭市委、调兵山市委工作要求，组织起草相关规范性文件，组织贯彻落实</w:t>
      </w:r>
      <w:r>
        <w:rPr>
          <w:rFonts w:ascii="仿宋" w:eastAsia="仿宋" w:hAnsi="仿宋" w:cs="仿宋" w:hint="eastAsia"/>
          <w:color w:val="2B3F59"/>
          <w:sz w:val="28"/>
          <w:szCs w:val="28"/>
          <w:shd w:val="clear" w:color="auto" w:fill="FFFFFF"/>
        </w:rPr>
        <w:t>&lt;&lt;</w:t>
      </w:r>
      <w:r>
        <w:rPr>
          <w:rFonts w:ascii="仿宋" w:eastAsia="仿宋" w:hAnsi="仿宋" w:cs="仿宋" w:hint="eastAsia"/>
          <w:color w:val="2B3F59"/>
          <w:sz w:val="28"/>
          <w:szCs w:val="28"/>
          <w:shd w:val="clear" w:color="auto" w:fill="FFFFFF"/>
        </w:rPr>
        <w:t>辽宁省优化营商环境条例</w:t>
      </w:r>
      <w:r>
        <w:rPr>
          <w:rFonts w:ascii="仿宋" w:eastAsia="仿宋" w:hAnsi="仿宋" w:cs="仿宋" w:hint="eastAsia"/>
          <w:color w:val="2B3F59"/>
          <w:sz w:val="28"/>
          <w:szCs w:val="28"/>
          <w:shd w:val="clear" w:color="auto" w:fill="FFFFFF"/>
        </w:rPr>
        <w:t>&gt;&gt;</w:t>
      </w:r>
      <w:r>
        <w:rPr>
          <w:rFonts w:ascii="仿宋" w:eastAsia="仿宋" w:hAnsi="仿宋" w:cs="仿宋" w:hint="eastAsia"/>
          <w:color w:val="2B3F59"/>
          <w:sz w:val="28"/>
          <w:szCs w:val="28"/>
          <w:shd w:val="clear" w:color="auto" w:fill="FFFFFF"/>
        </w:rPr>
        <w:t>。</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拟订全市营商环境建设工作规划和年度计划，组织实施加强和优化全市营商环境建设的政策、措施和制度，组织指导、统筹协调各部门营商环境建设工作</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负责全市营商环境建设监督检查工作，受理相关投诉、举报，查处营商环境建设违法违纪行为。</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配合有关部门对全市贯彻落实市委、市政府关于优化营商环境建设工作部署情况进行绩效考评。</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负责全市简政放权放管结合优化服务改革及行政审批改革工作。</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lastRenderedPageBreak/>
        <w:t xml:space="preserve">　　（六）负责市公共行政事务服务中心的运行和管理，负责对市直部门。进驻服务中心政务服务事项的组织协调、监督管理和指导服务。</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（七）负责全市行政权力运行制度系统、行政权力电子监察系统建设等工作，指导、协调、监督全市行政审批工作和公共行政事务服务中心及代办机构建设。统筹</w:t>
      </w:r>
      <w:r>
        <w:rPr>
          <w:rFonts w:ascii="仿宋" w:eastAsia="仿宋" w:hAnsi="仿宋" w:cs="仿宋" w:hint="eastAsia"/>
          <w:color w:val="2B3F59"/>
          <w:sz w:val="28"/>
          <w:szCs w:val="28"/>
          <w:shd w:val="clear" w:color="auto" w:fill="FFFFFF"/>
        </w:rPr>
        <w:t>负者“互联网十政务”建设推进及政务服务和</w:t>
      </w:r>
      <w:r>
        <w:rPr>
          <w:rFonts w:ascii="仿宋" w:eastAsia="仿宋" w:hAnsi="仿宋" w:cs="仿宋" w:hint="eastAsia"/>
          <w:color w:val="2B3F59"/>
          <w:sz w:val="28"/>
          <w:szCs w:val="28"/>
          <w:shd w:val="clear" w:color="auto" w:fill="FFFFFF"/>
        </w:rPr>
        <w:t>8890</w:t>
      </w:r>
      <w:r>
        <w:rPr>
          <w:rFonts w:ascii="仿宋" w:eastAsia="仿宋" w:hAnsi="仿宋" w:cs="仿宋" w:hint="eastAsia"/>
          <w:color w:val="2B3F59"/>
          <w:sz w:val="28"/>
          <w:szCs w:val="28"/>
          <w:shd w:val="clear" w:color="auto" w:fill="FFFFFF"/>
        </w:rPr>
        <w:t>服务台的大数据管理和应用。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（八）负责</w:t>
      </w:r>
      <w:r>
        <w:rPr>
          <w:rFonts w:ascii="仿宋" w:eastAsia="仿宋" w:hAnsi="仿宋" w:cs="仿宋" w:hint="eastAsia"/>
          <w:color w:val="2B3F59"/>
          <w:sz w:val="28"/>
          <w:szCs w:val="28"/>
          <w:shd w:val="clear" w:color="auto" w:fill="FFFFFF"/>
        </w:rPr>
        <w:t>8890</w:t>
      </w:r>
      <w:r>
        <w:rPr>
          <w:rFonts w:ascii="仿宋" w:eastAsia="仿宋" w:hAnsi="仿宋" w:cs="仿宋" w:hint="eastAsia"/>
          <w:color w:val="2B3F59"/>
          <w:sz w:val="28"/>
          <w:szCs w:val="28"/>
          <w:shd w:val="clear" w:color="auto" w:fill="FFFFFF"/>
        </w:rPr>
        <w:t>非紧急类服务平台规划建设和日常运行监督工作，指导市民新网工作。</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（九）承担市营商环境建设工作领导小组、市推进职能转变协调小组、市行政审批制度改革工作领导小组日常工作。</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（十）完成市委、市政府交办的其他业务。</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2.</w:t>
      </w:r>
      <w:r>
        <w:rPr>
          <w:rFonts w:ascii="仿宋" w:eastAsia="仿宋" w:hAnsi="仿宋" w:cs="仿宋" w:hint="eastAsia"/>
          <w:color w:val="2B3F59"/>
          <w:sz w:val="28"/>
          <w:szCs w:val="28"/>
          <w:shd w:val="clear" w:color="auto" w:fill="FFFFFF"/>
        </w:rPr>
        <w:t>预算单位构成</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调兵山市营商环境建设局行政编制</w:t>
      </w:r>
      <w:r>
        <w:rPr>
          <w:rFonts w:ascii="仿宋" w:eastAsia="仿宋" w:hAnsi="仿宋" w:cs="仿宋" w:hint="eastAsia"/>
          <w:color w:val="2B3F59"/>
          <w:sz w:val="28"/>
          <w:szCs w:val="28"/>
          <w:shd w:val="clear" w:color="auto" w:fill="FFFFFF"/>
        </w:rPr>
        <w:t xml:space="preserve"> 8</w:t>
      </w:r>
      <w:r>
        <w:rPr>
          <w:rFonts w:ascii="仿宋" w:eastAsia="仿宋" w:hAnsi="仿宋" w:cs="仿宋" w:hint="eastAsia"/>
          <w:color w:val="2B3F59"/>
          <w:sz w:val="28"/>
          <w:szCs w:val="28"/>
          <w:shd w:val="clear" w:color="auto" w:fill="FFFFFF"/>
        </w:rPr>
        <w:t>名</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。设局长</w:t>
      </w:r>
      <w:r>
        <w:rPr>
          <w:rFonts w:ascii="仿宋" w:eastAsia="仿宋" w:hAnsi="仿宋" w:cs="仿宋" w:hint="eastAsia"/>
          <w:color w:val="2B3F59"/>
          <w:sz w:val="28"/>
          <w:szCs w:val="28"/>
          <w:shd w:val="clear" w:color="auto" w:fill="FFFFFF"/>
        </w:rPr>
        <w:t xml:space="preserve"> 1 </w:t>
      </w:r>
      <w:r>
        <w:rPr>
          <w:rFonts w:ascii="仿宋" w:eastAsia="仿宋" w:hAnsi="仿宋" w:cs="仿宋" w:hint="eastAsia"/>
          <w:color w:val="2B3F59"/>
          <w:sz w:val="28"/>
          <w:szCs w:val="28"/>
          <w:shd w:val="clear" w:color="auto" w:fill="FFFFFF"/>
        </w:rPr>
        <w:t>名，副</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局长</w:t>
      </w:r>
      <w:r>
        <w:rPr>
          <w:rFonts w:ascii="仿宋" w:eastAsia="仿宋" w:hAnsi="仿宋" w:cs="仿宋" w:hint="eastAsia"/>
          <w:color w:val="2B3F59"/>
          <w:sz w:val="28"/>
          <w:szCs w:val="28"/>
          <w:shd w:val="clear" w:color="auto" w:fill="FFFFFF"/>
        </w:rPr>
        <w:t xml:space="preserve"> 3</w:t>
      </w:r>
      <w:r>
        <w:rPr>
          <w:rFonts w:ascii="仿宋" w:eastAsia="仿宋" w:hAnsi="仿宋" w:cs="仿宋" w:hint="eastAsia"/>
          <w:color w:val="2B3F59"/>
          <w:sz w:val="28"/>
          <w:szCs w:val="28"/>
          <w:shd w:val="clear" w:color="auto" w:fill="FFFFFF"/>
        </w:rPr>
        <w:t>名</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，其</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中</w:t>
      </w:r>
      <w:r>
        <w:rPr>
          <w:rFonts w:ascii="仿宋" w:eastAsia="仿宋" w:hAnsi="仿宋" w:cs="仿宋" w:hint="eastAsia"/>
          <w:color w:val="2B3F59"/>
          <w:sz w:val="28"/>
          <w:szCs w:val="28"/>
          <w:shd w:val="clear" w:color="auto" w:fill="FFFFFF"/>
        </w:rPr>
        <w:t>1</w:t>
      </w:r>
      <w:r>
        <w:rPr>
          <w:rFonts w:ascii="仿宋" w:eastAsia="仿宋" w:hAnsi="仿宋" w:cs="仿宋" w:hint="eastAsia"/>
          <w:color w:val="2B3F59"/>
          <w:sz w:val="28"/>
          <w:szCs w:val="28"/>
          <w:shd w:val="clear" w:color="auto" w:fill="FFFFFF"/>
        </w:rPr>
        <w:t>名</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兼任市行政审批局局长。</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机关工勤人员编制</w:t>
      </w:r>
      <w:r>
        <w:rPr>
          <w:rFonts w:ascii="仿宋" w:eastAsia="仿宋" w:hAnsi="仿宋" w:cs="仿宋" w:hint="eastAsia"/>
          <w:color w:val="2B3F59"/>
          <w:sz w:val="28"/>
          <w:szCs w:val="28"/>
          <w:shd w:val="clear" w:color="auto" w:fill="FFFFFF"/>
        </w:rPr>
        <w:t xml:space="preserve"> 1</w:t>
      </w:r>
      <w:r>
        <w:rPr>
          <w:rFonts w:ascii="仿宋" w:eastAsia="仿宋" w:hAnsi="仿宋" w:cs="仿宋" w:hint="eastAsia"/>
          <w:color w:val="2B3F59"/>
          <w:sz w:val="28"/>
          <w:szCs w:val="28"/>
          <w:shd w:val="clear" w:color="auto" w:fill="FFFFFF"/>
        </w:rPr>
        <w:t>名</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。派遣人员</w:t>
      </w:r>
      <w:r>
        <w:rPr>
          <w:rFonts w:ascii="仿宋" w:eastAsia="仿宋" w:hAnsi="仿宋" w:cs="仿宋" w:hint="eastAsia"/>
          <w:color w:val="2B3F59"/>
          <w:sz w:val="28"/>
          <w:szCs w:val="28"/>
          <w:shd w:val="clear" w:color="auto" w:fill="FFFFFF"/>
        </w:rPr>
        <w:t>3</w:t>
      </w:r>
      <w:r>
        <w:rPr>
          <w:rFonts w:ascii="仿宋" w:eastAsia="仿宋" w:hAnsi="仿宋" w:cs="仿宋" w:hint="eastAsia"/>
          <w:color w:val="2B3F59"/>
          <w:sz w:val="28"/>
          <w:szCs w:val="28"/>
          <w:shd w:val="clear" w:color="auto" w:fill="FFFFFF"/>
        </w:rPr>
        <w:t>名。</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第二部分</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单位</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年调兵山市营商环境建设局单位预算公开表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年调兵山市营商环境建设局单位预算收支总表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lastRenderedPageBreak/>
        <w:t xml:space="preserve">　　</w:t>
      </w:r>
      <w:r>
        <w:rPr>
          <w:rFonts w:ascii="仿宋" w:eastAsia="仿宋" w:hAnsi="仿宋" w:cs="仿宋" w:hint="eastAsia"/>
          <w:color w:val="2B3F59"/>
          <w:sz w:val="28"/>
          <w:szCs w:val="28"/>
          <w:shd w:val="clear" w:color="auto" w:fill="FFFFFF"/>
        </w:rPr>
        <w:t>2.</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年调兵山市营商环境建设局单位收入预算总表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3.</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年调兵山市营商环境建设局单位支出预算总表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4.</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年调兵山市营商环境建设局单位功能分类科目安排的支出表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5.</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年调兵山市营商环境建设局单位政府预算支出经济分类情况表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6.</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年调兵山市营商环境建设局单位部门预算支出经济分类情况表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7.</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年调兵山市营商环境建设局单位财政拨款收支预算总表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8.</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年调兵山市营商环境建设局单位财政拨款收入安排支出表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9.</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年调兵山市营商环境建设局单位一般公共预算支出表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10.</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年调兵山市营商环境建设局单位一般公共预算基本支出表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11.</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年调兵山市营商环境建设局单位政府性基金收入安排的预算支出表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lastRenderedPageBreak/>
        <w:t xml:space="preserve">　　</w:t>
      </w:r>
      <w:r>
        <w:rPr>
          <w:rFonts w:ascii="仿宋" w:eastAsia="仿宋" w:hAnsi="仿宋" w:cs="仿宋" w:hint="eastAsia"/>
          <w:color w:val="2B3F59"/>
          <w:sz w:val="28"/>
          <w:szCs w:val="28"/>
          <w:shd w:val="clear" w:color="auto" w:fill="FFFFFF"/>
        </w:rPr>
        <w:t>12.</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年调兵山市营商环境建设局单位省提前告收入安排的支出表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13.</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年调兵山市营商环境建设局单位纳入预算管理的行政事业性收费收入安排的预算支出表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14.</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年调兵山市营商环境建设局单位纳入专户管理的行政事业性收</w:t>
      </w:r>
      <w:r>
        <w:rPr>
          <w:rFonts w:ascii="仿宋" w:eastAsia="仿宋" w:hAnsi="仿宋" w:cs="仿宋" w:hint="eastAsia"/>
          <w:color w:val="2B3F59"/>
          <w:sz w:val="28"/>
          <w:szCs w:val="28"/>
          <w:shd w:val="clear" w:color="auto" w:fill="FFFFFF"/>
        </w:rPr>
        <w:t>费收入安排的预算支出表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15.</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年调兵山市营商环境建设局单位一般公共预算“三公”经费支出情况表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16.</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年调兵山市营商环境建设局单位项目支出预算明细表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17.</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年调兵山市营商环境建设局单位债务支出预算情况表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18.</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年调兵山市营商环境建设局单位政府采购支出预算表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19.</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年调兵山市营商环境建设局单位财政资金安排的政府购买服务项目支出预算表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第三部分</w:t>
      </w:r>
      <w:r>
        <w:rPr>
          <w:rFonts w:ascii="仿宋" w:eastAsia="仿宋" w:hAnsi="仿宋" w:cs="仿宋" w:hint="eastAsia"/>
          <w:color w:val="2B3F59"/>
          <w:sz w:val="28"/>
          <w:szCs w:val="28"/>
          <w:shd w:val="clear" w:color="auto" w:fill="FFFFFF"/>
        </w:rPr>
        <w:t> </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年调兵山市营商环境建设局单位预算情况说明</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一、</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调兵山市营商环境建设局单位预算情况说明</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按照综合预算的原则，</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年调兵山市营商环境建设局单位所有收入和支出均纳入预算管理。其中：</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lastRenderedPageBreak/>
        <w:t xml:space="preserve">　　收入情况。</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年单位预算收入总计</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78.08</w:t>
      </w:r>
      <w:r>
        <w:rPr>
          <w:rFonts w:ascii="仿宋" w:eastAsia="仿宋" w:hAnsi="仿宋" w:cs="仿宋" w:hint="eastAsia"/>
          <w:color w:val="2B3F59"/>
          <w:sz w:val="28"/>
          <w:szCs w:val="28"/>
          <w:shd w:val="clear" w:color="auto" w:fill="FFFFFF"/>
        </w:rPr>
        <w:t>万元，其中：本年收入</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78.08</w:t>
      </w:r>
      <w:r>
        <w:rPr>
          <w:rFonts w:ascii="仿宋" w:eastAsia="仿宋" w:hAnsi="仿宋" w:cs="仿宋" w:hint="eastAsia"/>
          <w:color w:val="2B3F59"/>
          <w:sz w:val="28"/>
          <w:szCs w:val="28"/>
          <w:shd w:val="clear" w:color="auto" w:fill="FFFFFF"/>
        </w:rPr>
        <w:t>万元，上年结转收入</w:t>
      </w:r>
      <w:r>
        <w:rPr>
          <w:rFonts w:ascii="仿宋" w:eastAsia="仿宋" w:hAnsi="仿宋" w:cs="仿宋" w:hint="eastAsia"/>
          <w:color w:val="2B3F59"/>
          <w:sz w:val="28"/>
          <w:szCs w:val="28"/>
          <w:shd w:val="clear" w:color="auto" w:fill="FFFFFF"/>
        </w:rPr>
        <w:t xml:space="preserve"> 0</w:t>
      </w:r>
      <w:r>
        <w:rPr>
          <w:rFonts w:ascii="仿宋" w:eastAsia="仿宋" w:hAnsi="仿宋" w:cs="仿宋" w:hint="eastAsia"/>
          <w:color w:val="2B3F59"/>
          <w:sz w:val="28"/>
          <w:szCs w:val="28"/>
          <w:shd w:val="clear" w:color="auto" w:fill="FFFFFF"/>
        </w:rPr>
        <w:t>万元，收入同比</w:t>
      </w:r>
      <w:r>
        <w:rPr>
          <w:rFonts w:ascii="仿宋" w:eastAsia="仿宋" w:hAnsi="仿宋" w:cs="仿宋" w:hint="eastAsia"/>
          <w:color w:val="2B3F59"/>
          <w:sz w:val="28"/>
          <w:szCs w:val="28"/>
          <w:shd w:val="clear" w:color="auto" w:fill="FFFFFF"/>
        </w:rPr>
        <w:t>减少</w:t>
      </w:r>
      <w:r>
        <w:rPr>
          <w:rFonts w:ascii="仿宋" w:eastAsia="仿宋" w:hAnsi="仿宋" w:cs="仿宋" w:hint="eastAsia"/>
          <w:color w:val="2B3F59"/>
          <w:sz w:val="28"/>
          <w:szCs w:val="28"/>
          <w:shd w:val="clear" w:color="auto" w:fill="FFFFFF"/>
        </w:rPr>
        <w:t>10.96</w:t>
      </w:r>
      <w:r>
        <w:rPr>
          <w:rFonts w:ascii="仿宋" w:eastAsia="仿宋" w:hAnsi="仿宋" w:cs="仿宋" w:hint="eastAsia"/>
          <w:color w:val="2B3F59"/>
          <w:sz w:val="28"/>
          <w:szCs w:val="28"/>
          <w:shd w:val="clear" w:color="auto" w:fill="FFFFFF"/>
        </w:rPr>
        <w:t>万元，增加</w:t>
      </w:r>
      <w:r>
        <w:rPr>
          <w:rFonts w:ascii="仿宋" w:eastAsia="仿宋" w:hAnsi="仿宋" w:cs="仿宋" w:hint="eastAsia"/>
          <w:color w:val="2B3F59"/>
          <w:sz w:val="28"/>
          <w:szCs w:val="28"/>
          <w:shd w:val="clear" w:color="auto" w:fill="FFFFFF"/>
        </w:rPr>
        <w:t>14</w:t>
      </w:r>
      <w:r>
        <w:rPr>
          <w:rFonts w:ascii="仿宋" w:eastAsia="仿宋" w:hAnsi="仿宋" w:cs="仿宋" w:hint="eastAsia"/>
          <w:color w:val="2B3F59"/>
          <w:sz w:val="28"/>
          <w:szCs w:val="28"/>
          <w:shd w:val="clear" w:color="auto" w:fill="FFFFFF"/>
        </w:rPr>
        <w:t>%</w:t>
      </w:r>
      <w:r>
        <w:rPr>
          <w:rFonts w:ascii="仿宋" w:eastAsia="仿宋" w:hAnsi="仿宋" w:cs="仿宋" w:hint="eastAsia"/>
          <w:color w:val="2B3F59"/>
          <w:sz w:val="28"/>
          <w:szCs w:val="28"/>
          <w:shd w:val="clear" w:color="auto" w:fill="FFFFFF"/>
        </w:rPr>
        <w:t>，主要原因是：</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人员变动。</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2</w:t>
      </w:r>
      <w:r>
        <w:rPr>
          <w:rFonts w:ascii="仿宋" w:eastAsia="仿宋" w:hAnsi="仿宋" w:cs="仿宋" w:hint="eastAsia"/>
          <w:color w:val="2B3F59"/>
          <w:sz w:val="28"/>
          <w:szCs w:val="28"/>
          <w:shd w:val="clear" w:color="auto" w:fill="FFFFFF"/>
        </w:rPr>
        <w:t>、支出情况。</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年单位预算支出总计</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78.08</w:t>
      </w:r>
      <w:r>
        <w:rPr>
          <w:rFonts w:ascii="仿宋" w:eastAsia="仿宋" w:hAnsi="仿宋" w:cs="仿宋" w:hint="eastAsia"/>
          <w:color w:val="2B3F59"/>
          <w:sz w:val="28"/>
          <w:szCs w:val="28"/>
          <w:shd w:val="clear" w:color="auto" w:fill="FFFFFF"/>
        </w:rPr>
        <w:t>万元，其中：工资福利支出</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62.93</w:t>
      </w:r>
      <w:r>
        <w:rPr>
          <w:rFonts w:ascii="仿宋" w:eastAsia="仿宋" w:hAnsi="仿宋" w:cs="仿宋" w:hint="eastAsia"/>
          <w:color w:val="2B3F59"/>
          <w:sz w:val="28"/>
          <w:szCs w:val="28"/>
          <w:shd w:val="clear" w:color="auto" w:fill="FFFFFF"/>
        </w:rPr>
        <w:t>万元，商品和服务支出</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10.04</w:t>
      </w:r>
      <w:r>
        <w:rPr>
          <w:rFonts w:ascii="仿宋" w:eastAsia="仿宋" w:hAnsi="仿宋" w:cs="仿宋" w:hint="eastAsia"/>
          <w:color w:val="2B3F59"/>
          <w:sz w:val="28"/>
          <w:szCs w:val="28"/>
          <w:shd w:val="clear" w:color="auto" w:fill="FFFFFF"/>
        </w:rPr>
        <w:t>万元，对个人和家庭的补助支出</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0.11</w:t>
      </w:r>
      <w:r>
        <w:rPr>
          <w:rFonts w:ascii="仿宋" w:eastAsia="仿宋" w:hAnsi="仿宋" w:cs="仿宋" w:hint="eastAsia"/>
          <w:color w:val="2B3F59"/>
          <w:sz w:val="28"/>
          <w:szCs w:val="28"/>
          <w:shd w:val="clear" w:color="auto" w:fill="FFFFFF"/>
        </w:rPr>
        <w:t>万元，项目支出</w:t>
      </w:r>
      <w:r>
        <w:rPr>
          <w:rFonts w:ascii="仿宋" w:eastAsia="仿宋" w:hAnsi="仿宋" w:cs="仿宋" w:hint="eastAsia"/>
          <w:color w:val="2B3F59"/>
          <w:sz w:val="28"/>
          <w:szCs w:val="28"/>
          <w:shd w:val="clear" w:color="auto" w:fill="FFFFFF"/>
        </w:rPr>
        <w:t>5</w:t>
      </w:r>
      <w:r>
        <w:rPr>
          <w:rFonts w:ascii="仿宋" w:eastAsia="仿宋" w:hAnsi="仿宋" w:cs="仿宋" w:hint="eastAsia"/>
          <w:color w:val="2B3F59"/>
          <w:sz w:val="28"/>
          <w:szCs w:val="28"/>
          <w:shd w:val="clear" w:color="auto" w:fill="FFFFFF"/>
        </w:rPr>
        <w:t>万元。支出同比</w:t>
      </w:r>
      <w:r>
        <w:rPr>
          <w:rFonts w:ascii="仿宋" w:eastAsia="仿宋" w:hAnsi="仿宋" w:cs="仿宋" w:hint="eastAsia"/>
          <w:color w:val="2B3F59"/>
          <w:sz w:val="28"/>
          <w:szCs w:val="28"/>
          <w:shd w:val="clear" w:color="auto" w:fill="FFFFFF"/>
        </w:rPr>
        <w:t>减少</w:t>
      </w:r>
      <w:r>
        <w:rPr>
          <w:rFonts w:ascii="仿宋" w:eastAsia="仿宋" w:hAnsi="仿宋" w:cs="仿宋" w:hint="eastAsia"/>
          <w:color w:val="2B3F59"/>
          <w:sz w:val="28"/>
          <w:szCs w:val="28"/>
          <w:shd w:val="clear" w:color="auto" w:fill="FFFFFF"/>
        </w:rPr>
        <w:t>2.8</w:t>
      </w:r>
      <w:r>
        <w:rPr>
          <w:rFonts w:ascii="仿宋" w:eastAsia="仿宋" w:hAnsi="仿宋" w:cs="仿宋" w:hint="eastAsia"/>
          <w:color w:val="2B3F59"/>
          <w:sz w:val="28"/>
          <w:szCs w:val="28"/>
          <w:shd w:val="clear" w:color="auto" w:fill="FFFFFF"/>
        </w:rPr>
        <w:t>万元，主要原因是：</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项目减少</w:t>
      </w:r>
      <w:r>
        <w:rPr>
          <w:rFonts w:ascii="仿宋" w:eastAsia="仿宋" w:hAnsi="仿宋" w:cs="仿宋" w:hint="eastAsia"/>
          <w:color w:val="2B3F59"/>
          <w:sz w:val="28"/>
          <w:szCs w:val="28"/>
          <w:shd w:val="clear" w:color="auto" w:fill="FFFFFF"/>
        </w:rPr>
        <w:t>。</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年发生政府性基金安排的支出：</w:t>
      </w:r>
      <w:r>
        <w:rPr>
          <w:rFonts w:ascii="仿宋" w:eastAsia="仿宋" w:hAnsi="仿宋" w:cs="仿宋" w:hint="eastAsia"/>
          <w:color w:val="2B3F59"/>
          <w:sz w:val="28"/>
          <w:szCs w:val="28"/>
          <w:shd w:val="clear" w:color="auto" w:fill="FFFFFF"/>
        </w:rPr>
        <w:t>0</w:t>
      </w:r>
      <w:r>
        <w:rPr>
          <w:rFonts w:ascii="仿宋" w:eastAsia="仿宋" w:hAnsi="仿宋" w:cs="仿宋" w:hint="eastAsia"/>
          <w:color w:val="2B3F59"/>
          <w:sz w:val="28"/>
          <w:szCs w:val="28"/>
          <w:shd w:val="clear" w:color="auto" w:fill="FFFFFF"/>
        </w:rPr>
        <w:t>万元</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年调兵山市营商环境建设局提前告知专项安排的支出</w:t>
      </w:r>
      <w:r>
        <w:rPr>
          <w:rFonts w:ascii="仿宋" w:eastAsia="仿宋" w:hAnsi="仿宋" w:cs="仿宋" w:hint="eastAsia"/>
          <w:color w:val="2B3F59"/>
          <w:sz w:val="28"/>
          <w:szCs w:val="28"/>
          <w:shd w:val="clear" w:color="auto" w:fill="FFFFFF"/>
        </w:rPr>
        <w:t>0</w:t>
      </w:r>
      <w:r>
        <w:rPr>
          <w:rFonts w:ascii="仿宋" w:eastAsia="仿宋" w:hAnsi="仿宋" w:cs="仿宋" w:hint="eastAsia"/>
          <w:color w:val="2B3F59"/>
          <w:sz w:val="28"/>
          <w:szCs w:val="28"/>
          <w:shd w:val="clear" w:color="auto" w:fill="FFFFFF"/>
        </w:rPr>
        <w:t>万元。</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二、机关运行经费安排和使用情况：</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2024</w:t>
      </w:r>
      <w:r>
        <w:rPr>
          <w:rFonts w:ascii="仿宋" w:eastAsia="仿宋" w:hAnsi="仿宋" w:cs="仿宋" w:hint="eastAsia"/>
          <w:color w:val="2B3F59"/>
          <w:sz w:val="28"/>
          <w:szCs w:val="28"/>
          <w:shd w:val="clear" w:color="auto" w:fill="FFFFFF"/>
        </w:rPr>
        <w:t>年机关运行经费安排和使用情况</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w:t>
      </w:r>
      <w:r>
        <w:rPr>
          <w:rFonts w:ascii="仿宋" w:eastAsia="仿宋" w:hAnsi="仿宋" w:cs="仿宋" w:hint="eastAsia"/>
          <w:color w:val="2B3F59"/>
          <w:sz w:val="28"/>
          <w:szCs w:val="28"/>
          <w:shd w:val="clear" w:color="auto" w:fill="FFFFFF"/>
        </w:rPr>
        <w:t>机关工资福利支出：</w:t>
      </w:r>
      <w:r>
        <w:rPr>
          <w:rFonts w:ascii="仿宋" w:eastAsia="仿宋" w:hAnsi="仿宋" w:cs="仿宋" w:hint="eastAsia"/>
          <w:color w:val="2B3F59"/>
          <w:sz w:val="28"/>
          <w:szCs w:val="28"/>
          <w:shd w:val="clear" w:color="auto" w:fill="FFFFFF"/>
        </w:rPr>
        <w:t>62.93</w:t>
      </w:r>
      <w:r>
        <w:rPr>
          <w:rFonts w:ascii="仿宋" w:eastAsia="仿宋" w:hAnsi="仿宋" w:cs="仿宋" w:hint="eastAsia"/>
          <w:color w:val="2B3F59"/>
          <w:sz w:val="28"/>
          <w:szCs w:val="28"/>
          <w:shd w:val="clear" w:color="auto" w:fill="FFFFFF"/>
        </w:rPr>
        <w:t>万元，其中工资奖金津补贴：</w:t>
      </w:r>
      <w:r>
        <w:rPr>
          <w:rFonts w:ascii="仿宋" w:eastAsia="仿宋" w:hAnsi="仿宋" w:cs="仿宋" w:hint="eastAsia"/>
          <w:color w:val="2B3F59"/>
          <w:sz w:val="28"/>
          <w:szCs w:val="28"/>
          <w:shd w:val="clear" w:color="auto" w:fill="FFFFFF"/>
        </w:rPr>
        <w:t>38.52</w:t>
      </w:r>
      <w:r>
        <w:rPr>
          <w:rFonts w:ascii="仿宋" w:eastAsia="仿宋" w:hAnsi="仿宋" w:cs="仿宋" w:hint="eastAsia"/>
          <w:color w:val="2B3F59"/>
          <w:sz w:val="28"/>
          <w:szCs w:val="28"/>
          <w:shd w:val="clear" w:color="auto" w:fill="FFFFFF"/>
        </w:rPr>
        <w:t>万、社会保障缴费：</w:t>
      </w:r>
      <w:r>
        <w:rPr>
          <w:rFonts w:ascii="仿宋" w:eastAsia="仿宋" w:hAnsi="仿宋" w:cs="仿宋" w:hint="eastAsia"/>
          <w:color w:val="2B3F59"/>
          <w:sz w:val="28"/>
          <w:szCs w:val="28"/>
          <w:shd w:val="clear" w:color="auto" w:fill="FFFFFF"/>
        </w:rPr>
        <w:t>8.86</w:t>
      </w:r>
      <w:r>
        <w:rPr>
          <w:rFonts w:ascii="仿宋" w:eastAsia="仿宋" w:hAnsi="仿宋" w:cs="仿宋" w:hint="eastAsia"/>
          <w:color w:val="2B3F59"/>
          <w:sz w:val="28"/>
          <w:szCs w:val="28"/>
          <w:shd w:val="clear" w:color="auto" w:fill="FFFFFF"/>
        </w:rPr>
        <w:t>万元、住房公积金：</w:t>
      </w:r>
      <w:r>
        <w:rPr>
          <w:rFonts w:ascii="仿宋" w:eastAsia="仿宋" w:hAnsi="仿宋" w:cs="仿宋" w:hint="eastAsia"/>
          <w:color w:val="2B3F59"/>
          <w:sz w:val="28"/>
          <w:szCs w:val="28"/>
          <w:shd w:val="clear" w:color="auto" w:fill="FFFFFF"/>
        </w:rPr>
        <w:t>4.25</w:t>
      </w:r>
      <w:r>
        <w:rPr>
          <w:rFonts w:ascii="仿宋" w:eastAsia="仿宋" w:hAnsi="仿宋" w:cs="仿宋" w:hint="eastAsia"/>
          <w:color w:val="2B3F59"/>
          <w:sz w:val="28"/>
          <w:szCs w:val="28"/>
          <w:shd w:val="clear" w:color="auto" w:fill="FFFFFF"/>
        </w:rPr>
        <w:t>万元、其他工资福利支出：</w:t>
      </w:r>
      <w:r>
        <w:rPr>
          <w:rFonts w:ascii="仿宋" w:eastAsia="仿宋" w:hAnsi="仿宋" w:cs="仿宋" w:hint="eastAsia"/>
          <w:color w:val="2B3F59"/>
          <w:sz w:val="28"/>
          <w:szCs w:val="28"/>
          <w:shd w:val="clear" w:color="auto" w:fill="FFFFFF"/>
        </w:rPr>
        <w:t>11.3</w:t>
      </w:r>
      <w:r>
        <w:rPr>
          <w:rFonts w:ascii="仿宋" w:eastAsia="仿宋" w:hAnsi="仿宋" w:cs="仿宋" w:hint="eastAsia"/>
          <w:color w:val="2B3F59"/>
          <w:sz w:val="28"/>
          <w:szCs w:val="28"/>
          <w:shd w:val="clear" w:color="auto" w:fill="FFFFFF"/>
        </w:rPr>
        <w:t>万元。</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2.</w:t>
      </w:r>
      <w:r>
        <w:rPr>
          <w:rFonts w:ascii="仿宋" w:eastAsia="仿宋" w:hAnsi="仿宋" w:cs="仿宋" w:hint="eastAsia"/>
          <w:color w:val="2B3F59"/>
          <w:sz w:val="28"/>
          <w:szCs w:val="28"/>
          <w:shd w:val="clear" w:color="auto" w:fill="FFFFFF"/>
        </w:rPr>
        <w:t>机关商品和服务支出：</w:t>
      </w:r>
      <w:r>
        <w:rPr>
          <w:rFonts w:ascii="仿宋" w:eastAsia="仿宋" w:hAnsi="仿宋" w:cs="仿宋" w:hint="eastAsia"/>
          <w:color w:val="2B3F59"/>
          <w:sz w:val="28"/>
          <w:szCs w:val="28"/>
          <w:shd w:val="clear" w:color="auto" w:fill="FFFFFF"/>
        </w:rPr>
        <w:t>15.04</w:t>
      </w:r>
      <w:r>
        <w:rPr>
          <w:rFonts w:ascii="仿宋" w:eastAsia="仿宋" w:hAnsi="仿宋" w:cs="仿宋" w:hint="eastAsia"/>
          <w:color w:val="2B3F59"/>
          <w:sz w:val="28"/>
          <w:szCs w:val="28"/>
          <w:shd w:val="clear" w:color="auto" w:fill="FFFFFF"/>
        </w:rPr>
        <w:t>万元，</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其中办公经费：</w:t>
      </w:r>
      <w:r>
        <w:rPr>
          <w:rFonts w:ascii="仿宋" w:eastAsia="仿宋" w:hAnsi="仿宋" w:cs="仿宋" w:hint="eastAsia"/>
          <w:color w:val="2B3F59"/>
          <w:sz w:val="28"/>
          <w:szCs w:val="28"/>
          <w:shd w:val="clear" w:color="auto" w:fill="FFFFFF"/>
        </w:rPr>
        <w:t>11.24</w:t>
      </w:r>
      <w:r>
        <w:rPr>
          <w:rFonts w:ascii="仿宋" w:eastAsia="仿宋" w:hAnsi="仿宋" w:cs="仿宋" w:hint="eastAsia"/>
          <w:color w:val="2B3F59"/>
          <w:sz w:val="28"/>
          <w:szCs w:val="28"/>
          <w:shd w:val="clear" w:color="auto" w:fill="FFFFFF"/>
        </w:rPr>
        <w:t>万元、</w:t>
      </w:r>
      <w:r>
        <w:rPr>
          <w:rFonts w:ascii="仿宋" w:eastAsia="仿宋" w:hAnsi="仿宋" w:cs="仿宋" w:hint="eastAsia"/>
          <w:color w:val="2B3F59"/>
          <w:sz w:val="28"/>
          <w:szCs w:val="28"/>
          <w:shd w:val="clear" w:color="auto" w:fill="FFFFFF"/>
        </w:rPr>
        <w:t>业务委托费</w:t>
      </w:r>
      <w:r>
        <w:rPr>
          <w:rFonts w:ascii="仿宋" w:eastAsia="仿宋" w:hAnsi="仿宋" w:cs="仿宋" w:hint="eastAsia"/>
          <w:color w:val="2B3F59"/>
          <w:sz w:val="28"/>
          <w:szCs w:val="28"/>
          <w:shd w:val="clear" w:color="auto" w:fill="FFFFFF"/>
        </w:rPr>
        <w:t>1.8</w:t>
      </w:r>
      <w:r>
        <w:rPr>
          <w:rFonts w:ascii="仿宋" w:eastAsia="仿宋" w:hAnsi="仿宋" w:cs="仿宋" w:hint="eastAsia"/>
          <w:color w:val="2B3F59"/>
          <w:sz w:val="28"/>
          <w:szCs w:val="28"/>
          <w:shd w:val="clear" w:color="auto" w:fill="FFFFFF"/>
        </w:rPr>
        <w:t>万、</w:t>
      </w:r>
      <w:r>
        <w:rPr>
          <w:rFonts w:ascii="仿宋" w:eastAsia="仿宋" w:hAnsi="仿宋" w:cs="仿宋" w:hint="eastAsia"/>
          <w:color w:val="2B3F59"/>
          <w:sz w:val="28"/>
          <w:szCs w:val="28"/>
          <w:shd w:val="clear" w:color="auto" w:fill="FFFFFF"/>
        </w:rPr>
        <w:t>其他商品和服务支出：</w:t>
      </w:r>
      <w:r>
        <w:rPr>
          <w:rFonts w:ascii="仿宋" w:eastAsia="仿宋" w:hAnsi="仿宋" w:cs="仿宋" w:hint="eastAsia"/>
          <w:color w:val="2B3F59"/>
          <w:sz w:val="28"/>
          <w:szCs w:val="28"/>
          <w:shd w:val="clear" w:color="auto" w:fill="FFFFFF"/>
        </w:rPr>
        <w:t>2</w:t>
      </w:r>
      <w:r>
        <w:rPr>
          <w:rFonts w:ascii="仿宋" w:eastAsia="仿宋" w:hAnsi="仿宋" w:cs="仿宋" w:hint="eastAsia"/>
          <w:color w:val="2B3F59"/>
          <w:sz w:val="28"/>
          <w:szCs w:val="28"/>
          <w:shd w:val="clear" w:color="auto" w:fill="FFFFFF"/>
        </w:rPr>
        <w:t>万元。</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3.</w:t>
      </w:r>
      <w:r>
        <w:rPr>
          <w:rFonts w:ascii="仿宋" w:eastAsia="仿宋" w:hAnsi="仿宋" w:cs="仿宋" w:hint="eastAsia"/>
          <w:color w:val="2B3F59"/>
          <w:sz w:val="28"/>
          <w:szCs w:val="28"/>
          <w:shd w:val="clear" w:color="auto" w:fill="FFFFFF"/>
        </w:rPr>
        <w:t>对个人和家庭的补助：</w:t>
      </w:r>
      <w:r>
        <w:rPr>
          <w:rFonts w:ascii="仿宋" w:eastAsia="仿宋" w:hAnsi="仿宋" w:cs="仿宋" w:hint="eastAsia"/>
          <w:color w:val="2B3F59"/>
          <w:sz w:val="28"/>
          <w:szCs w:val="28"/>
          <w:shd w:val="clear" w:color="auto" w:fill="FFFFFF"/>
        </w:rPr>
        <w:t>0.11</w:t>
      </w:r>
      <w:r>
        <w:rPr>
          <w:rFonts w:ascii="仿宋" w:eastAsia="仿宋" w:hAnsi="仿宋" w:cs="仿宋" w:hint="eastAsia"/>
          <w:color w:val="2B3F59"/>
          <w:sz w:val="28"/>
          <w:szCs w:val="28"/>
          <w:shd w:val="clear" w:color="auto" w:fill="FFFFFF"/>
        </w:rPr>
        <w:t>万元、社会福利和救助：</w:t>
      </w:r>
      <w:r>
        <w:rPr>
          <w:rFonts w:ascii="仿宋" w:eastAsia="仿宋" w:hAnsi="仿宋" w:cs="仿宋" w:hint="eastAsia"/>
          <w:color w:val="2B3F59"/>
          <w:sz w:val="28"/>
          <w:szCs w:val="28"/>
          <w:shd w:val="clear" w:color="auto" w:fill="FFFFFF"/>
        </w:rPr>
        <w:t>0.01</w:t>
      </w:r>
      <w:r>
        <w:rPr>
          <w:rFonts w:ascii="仿宋" w:eastAsia="仿宋" w:hAnsi="仿宋" w:cs="仿宋" w:hint="eastAsia"/>
          <w:color w:val="2B3F59"/>
          <w:sz w:val="28"/>
          <w:szCs w:val="28"/>
          <w:shd w:val="clear" w:color="auto" w:fill="FFFFFF"/>
        </w:rPr>
        <w:t>万元、其他对个人和家庭补助：</w:t>
      </w:r>
      <w:r>
        <w:rPr>
          <w:rFonts w:ascii="仿宋" w:eastAsia="仿宋" w:hAnsi="仿宋" w:cs="仿宋" w:hint="eastAsia"/>
          <w:color w:val="2B3F59"/>
          <w:sz w:val="28"/>
          <w:szCs w:val="28"/>
          <w:shd w:val="clear" w:color="auto" w:fill="FFFFFF"/>
        </w:rPr>
        <w:t>0.1</w:t>
      </w:r>
      <w:r>
        <w:rPr>
          <w:rFonts w:ascii="仿宋" w:eastAsia="仿宋" w:hAnsi="仿宋" w:cs="仿宋" w:hint="eastAsia"/>
          <w:color w:val="2B3F59"/>
          <w:sz w:val="28"/>
          <w:szCs w:val="28"/>
          <w:shd w:val="clear" w:color="auto" w:fill="FFFFFF"/>
        </w:rPr>
        <w:t>万元。</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lastRenderedPageBreak/>
        <w:t xml:space="preserve">　　三、政府采购情况</w:t>
      </w:r>
      <w:r>
        <w:rPr>
          <w:rFonts w:ascii="仿宋" w:eastAsia="仿宋" w:hAnsi="仿宋" w:cs="仿宋" w:hint="eastAsia"/>
          <w:color w:val="2B3F59"/>
          <w:sz w:val="28"/>
          <w:szCs w:val="28"/>
          <w:shd w:val="clear" w:color="auto" w:fill="FFFFFF"/>
        </w:rPr>
        <w:t>0</w:t>
      </w:r>
      <w:r>
        <w:rPr>
          <w:rFonts w:ascii="仿宋" w:eastAsia="仿宋" w:hAnsi="仿宋" w:cs="仿宋" w:hint="eastAsia"/>
          <w:color w:val="2B3F59"/>
          <w:sz w:val="28"/>
          <w:szCs w:val="28"/>
          <w:shd w:val="clear" w:color="auto" w:fill="FFFFFF"/>
        </w:rPr>
        <w:t>万元。</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四、关于“三公”经费预算情况说明</w:t>
      </w:r>
      <w:r>
        <w:rPr>
          <w:rFonts w:ascii="仿宋" w:eastAsia="仿宋" w:hAnsi="仿宋" w:cs="仿宋" w:hint="eastAsia"/>
          <w:color w:val="2B3F59"/>
          <w:sz w:val="28"/>
          <w:szCs w:val="28"/>
          <w:shd w:val="clear" w:color="auto" w:fill="FFFFFF"/>
        </w:rPr>
        <w:t>0</w:t>
      </w:r>
      <w:r>
        <w:rPr>
          <w:rFonts w:ascii="仿宋" w:eastAsia="仿宋" w:hAnsi="仿宋" w:cs="仿宋" w:hint="eastAsia"/>
          <w:color w:val="2B3F59"/>
          <w:sz w:val="28"/>
          <w:szCs w:val="28"/>
          <w:shd w:val="clear" w:color="auto" w:fill="FFFFFF"/>
        </w:rPr>
        <w:t>万元</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五、其他重要事项情况说明</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w:t>
      </w:r>
      <w:r>
        <w:rPr>
          <w:rFonts w:ascii="仿宋" w:eastAsia="仿宋" w:hAnsi="仿宋" w:cs="仿宋" w:hint="eastAsia"/>
          <w:color w:val="2B3F59"/>
          <w:sz w:val="28"/>
          <w:szCs w:val="28"/>
          <w:shd w:val="clear" w:color="auto" w:fill="FFFFFF"/>
        </w:rPr>
        <w:t>、政府债务情况。</w:t>
      </w:r>
      <w:r>
        <w:rPr>
          <w:rFonts w:ascii="仿宋" w:eastAsia="仿宋" w:hAnsi="仿宋" w:cs="仿宋" w:hint="eastAsia"/>
          <w:color w:val="2B3F59"/>
          <w:sz w:val="28"/>
          <w:szCs w:val="28"/>
          <w:shd w:val="clear" w:color="auto" w:fill="FFFFFF"/>
        </w:rPr>
        <w:t>无</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2</w:t>
      </w:r>
      <w:r>
        <w:rPr>
          <w:rFonts w:ascii="仿宋" w:eastAsia="仿宋" w:hAnsi="仿宋" w:cs="仿宋" w:hint="eastAsia"/>
          <w:color w:val="2B3F59"/>
          <w:sz w:val="28"/>
          <w:szCs w:val="28"/>
          <w:shd w:val="clear" w:color="auto" w:fill="FFFFFF"/>
        </w:rPr>
        <w:t>、政府购买服务支出情况。</w:t>
      </w:r>
      <w:r>
        <w:rPr>
          <w:rFonts w:ascii="仿宋" w:eastAsia="仿宋" w:hAnsi="仿宋" w:cs="仿宋" w:hint="eastAsia"/>
          <w:color w:val="2B3F59"/>
          <w:sz w:val="28"/>
          <w:szCs w:val="28"/>
          <w:shd w:val="clear" w:color="auto" w:fill="FFFFFF"/>
        </w:rPr>
        <w:t>无</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3</w:t>
      </w:r>
      <w:r>
        <w:rPr>
          <w:rFonts w:ascii="仿宋" w:eastAsia="仿宋" w:hAnsi="仿宋" w:cs="仿宋" w:hint="eastAsia"/>
          <w:color w:val="2B3F59"/>
          <w:sz w:val="28"/>
          <w:szCs w:val="28"/>
          <w:shd w:val="clear" w:color="auto" w:fill="FFFFFF"/>
        </w:rPr>
        <w:t>、国有资产占用使用情况。</w:t>
      </w:r>
      <w:r>
        <w:rPr>
          <w:rFonts w:ascii="仿宋" w:eastAsia="仿宋" w:hAnsi="仿宋" w:cs="仿宋" w:hint="eastAsia"/>
          <w:color w:val="2B3F59"/>
          <w:sz w:val="28"/>
          <w:szCs w:val="28"/>
          <w:shd w:val="clear" w:color="auto" w:fill="FFFFFF"/>
        </w:rPr>
        <w:t>无</w:t>
      </w:r>
      <w:bookmarkStart w:id="0" w:name="_GoBack"/>
      <w:bookmarkEnd w:id="0"/>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4</w:t>
      </w:r>
      <w:r>
        <w:rPr>
          <w:rFonts w:ascii="仿宋" w:eastAsia="仿宋" w:hAnsi="仿宋" w:cs="仿宋" w:hint="eastAsia"/>
          <w:color w:val="2B3F59"/>
          <w:sz w:val="28"/>
          <w:szCs w:val="28"/>
          <w:shd w:val="clear" w:color="auto" w:fill="FFFFFF"/>
        </w:rPr>
        <w:t>、预算绩效情况说明。</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w:t>
      </w:r>
      <w:r>
        <w:rPr>
          <w:rFonts w:ascii="仿宋" w:eastAsia="仿宋" w:hAnsi="仿宋" w:cs="仿宋" w:hint="eastAsia"/>
          <w:color w:val="2B3F59"/>
          <w:sz w:val="28"/>
          <w:szCs w:val="28"/>
          <w:shd w:val="clear" w:color="auto" w:fill="FFFFFF"/>
        </w:rPr>
        <w:t>）强化制度建设，建立健全绩效评价制度体系。</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2</w:t>
      </w:r>
      <w:r>
        <w:rPr>
          <w:rFonts w:ascii="仿宋" w:eastAsia="仿宋" w:hAnsi="仿宋" w:cs="仿宋" w:hint="eastAsia"/>
          <w:color w:val="2B3F59"/>
          <w:sz w:val="28"/>
          <w:szCs w:val="28"/>
          <w:shd w:val="clear" w:color="auto" w:fill="FFFFFF"/>
        </w:rPr>
        <w:t>）强化沟通交流，绩效评价多方参与、齐抓共管工作格局基本形成。</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3</w:t>
      </w:r>
      <w:r>
        <w:rPr>
          <w:rFonts w:ascii="仿宋" w:eastAsia="仿宋" w:hAnsi="仿宋" w:cs="仿宋" w:hint="eastAsia"/>
          <w:color w:val="2B3F59"/>
          <w:sz w:val="28"/>
          <w:szCs w:val="28"/>
          <w:shd w:val="clear" w:color="auto" w:fill="FFFFFF"/>
        </w:rPr>
        <w:t>）强化创新意识，绩效评价各项工作不断向纵深迈进。</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4</w:t>
      </w:r>
      <w:r>
        <w:rPr>
          <w:rFonts w:ascii="仿宋" w:eastAsia="仿宋" w:hAnsi="仿宋" w:cs="仿宋" w:hint="eastAsia"/>
          <w:color w:val="2B3F59"/>
          <w:sz w:val="28"/>
          <w:szCs w:val="28"/>
          <w:shd w:val="clear" w:color="auto" w:fill="FFFFFF"/>
        </w:rPr>
        <w:t>）强化激励约束，绩效评价结果应用和公开工作稳步推进。</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5</w:t>
      </w:r>
      <w:r>
        <w:rPr>
          <w:rFonts w:ascii="仿宋" w:eastAsia="仿宋" w:hAnsi="仿宋" w:cs="仿宋" w:hint="eastAsia"/>
          <w:color w:val="2B3F59"/>
          <w:sz w:val="28"/>
          <w:szCs w:val="28"/>
          <w:shd w:val="clear" w:color="auto" w:fill="FFFFFF"/>
        </w:rPr>
        <w:t>、扶贫资金安排情况</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无</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第四部分</w:t>
      </w: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名词解释</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w:t>
      </w:r>
      <w:r>
        <w:rPr>
          <w:rFonts w:ascii="仿宋" w:eastAsia="仿宋" w:hAnsi="仿宋" w:cs="仿宋" w:hint="eastAsia"/>
          <w:color w:val="2B3F59"/>
          <w:sz w:val="28"/>
          <w:szCs w:val="28"/>
          <w:shd w:val="clear" w:color="auto" w:fill="FFFFFF"/>
        </w:rPr>
        <w:t>财政拨款收入：指市级财政当年拨付的资金。</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lastRenderedPageBreak/>
        <w:t xml:space="preserve">　　</w:t>
      </w:r>
      <w:r>
        <w:rPr>
          <w:rFonts w:ascii="仿宋" w:eastAsia="仿宋" w:hAnsi="仿宋" w:cs="仿宋" w:hint="eastAsia"/>
          <w:color w:val="2B3F59"/>
          <w:sz w:val="28"/>
          <w:szCs w:val="28"/>
          <w:shd w:val="clear" w:color="auto" w:fill="FFFFFF"/>
        </w:rPr>
        <w:t>2.</w:t>
      </w:r>
      <w:r>
        <w:rPr>
          <w:rFonts w:ascii="仿宋" w:eastAsia="仿宋" w:hAnsi="仿宋" w:cs="仿宋" w:hint="eastAsia"/>
          <w:color w:val="2B3F59"/>
          <w:sz w:val="28"/>
          <w:szCs w:val="28"/>
          <w:shd w:val="clear" w:color="auto" w:fill="FFFFFF"/>
        </w:rPr>
        <w:t>基本支出：指保障机构正常运转、完成日常工作任务而发生的人员支出和公用支出。</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3.</w:t>
      </w:r>
      <w:r>
        <w:rPr>
          <w:rFonts w:ascii="仿宋" w:eastAsia="仿宋" w:hAnsi="仿宋" w:cs="仿宋" w:hint="eastAsia"/>
          <w:color w:val="2B3F59"/>
          <w:sz w:val="28"/>
          <w:szCs w:val="28"/>
          <w:shd w:val="clear" w:color="auto" w:fill="FFFFFF"/>
        </w:rPr>
        <w:t>项目支出：指在基本支出之外为完成特定行政任务和事业发展目标所发生的支出。</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4.</w:t>
      </w:r>
      <w:r>
        <w:rPr>
          <w:rFonts w:ascii="仿宋" w:eastAsia="仿宋" w:hAnsi="仿宋" w:cs="仿宋" w:hint="eastAsia"/>
          <w:color w:val="2B3F59"/>
          <w:sz w:val="28"/>
          <w:szCs w:val="28"/>
          <w:shd w:val="clear" w:color="auto" w:fill="FFFFFF"/>
        </w:rPr>
        <w:t>行政事业性收费收入：指依据法律、行政法规、国务院有关规定、国务院财政单位会同价格主管单位共同发布的规章或者</w:t>
      </w:r>
      <w:r>
        <w:rPr>
          <w:rFonts w:ascii="仿宋" w:eastAsia="仿宋" w:hAnsi="仿宋" w:cs="仿宋" w:hint="eastAsia"/>
          <w:color w:val="2B3F59"/>
          <w:sz w:val="28"/>
          <w:szCs w:val="28"/>
          <w:shd w:val="clear" w:color="auto" w:fill="FFFFFF"/>
        </w:rPr>
        <w:t>规定，省、自治区、直辖市人民政府财政单位会同价格主管单位共同发布的规定所收取的各项收费收入。</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5.</w:t>
      </w:r>
      <w:r>
        <w:rPr>
          <w:rFonts w:ascii="仿宋" w:eastAsia="仿宋" w:hAnsi="仿宋" w:cs="仿宋" w:hint="eastAsia"/>
          <w:color w:val="2B3F59"/>
          <w:sz w:val="28"/>
          <w:szCs w:val="28"/>
          <w:shd w:val="clear" w:color="auto" w:fill="FFFFFF"/>
        </w:rPr>
        <w:t>政府性基金收入：反应各级政府及其所属单位根据法律、行政法规规定并经国务院或财政部批准，向公民、法人和其他组织征收的政府性基金，以及参照政府性基金管理或纳入基金预算、具有特定用途的财政资金。</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6.</w:t>
      </w:r>
      <w:r>
        <w:rPr>
          <w:rFonts w:ascii="仿宋" w:eastAsia="仿宋" w:hAnsi="仿宋" w:cs="仿宋" w:hint="eastAsia"/>
          <w:color w:val="2B3F59"/>
          <w:sz w:val="28"/>
          <w:szCs w:val="28"/>
          <w:shd w:val="clear" w:color="auto" w:fill="FFFFFF"/>
        </w:rPr>
        <w:t>“三公”经费：指用财政拨款安排的因公出国（境）费、公务用车购置及运行费和公务接待费。其中，因公出国（境）费反应单位公务出国（境）的住宿费、旅费、伙食补助费、杂费、培训费等支出；公务用车购置及运行费反映单位公务用车</w:t>
      </w:r>
      <w:r>
        <w:rPr>
          <w:rFonts w:ascii="仿宋" w:eastAsia="仿宋" w:hAnsi="仿宋" w:cs="仿宋" w:hint="eastAsia"/>
          <w:color w:val="2B3F59"/>
          <w:sz w:val="28"/>
          <w:szCs w:val="28"/>
          <w:shd w:val="clear" w:color="auto" w:fill="FFFFFF"/>
        </w:rPr>
        <w:t>购置费及租用费、燃料费、维修费、过路过桥费、保险费、安全奖励费用等支出；公务接待费反映单位按规定开支的各类公务接待（含外宾接待）支出。</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7.</w:t>
      </w:r>
      <w:r>
        <w:rPr>
          <w:rFonts w:ascii="仿宋" w:eastAsia="仿宋" w:hAnsi="仿宋" w:cs="仿宋" w:hint="eastAsia"/>
          <w:color w:val="2B3F59"/>
          <w:sz w:val="28"/>
          <w:szCs w:val="28"/>
          <w:shd w:val="clear" w:color="auto" w:fill="FFFFFF"/>
        </w:rPr>
        <w:t>一般公共服务（类）财政事务（款）行政运行（项）：反映行政单位（包括实行公务员管理的事业单位）的基本支出。</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lastRenderedPageBreak/>
        <w:t xml:space="preserve">　　</w:t>
      </w:r>
      <w:r>
        <w:rPr>
          <w:rFonts w:ascii="仿宋" w:eastAsia="仿宋" w:hAnsi="仿宋" w:cs="仿宋" w:hint="eastAsia"/>
          <w:color w:val="2B3F59"/>
          <w:sz w:val="28"/>
          <w:szCs w:val="28"/>
          <w:shd w:val="clear" w:color="auto" w:fill="FFFFFF"/>
        </w:rPr>
        <w:t>8.</w:t>
      </w:r>
      <w:r>
        <w:rPr>
          <w:rFonts w:ascii="仿宋" w:eastAsia="仿宋" w:hAnsi="仿宋" w:cs="仿宋" w:hint="eastAsia"/>
          <w:color w:val="2B3F59"/>
          <w:sz w:val="28"/>
          <w:szCs w:val="28"/>
          <w:shd w:val="clear" w:color="auto" w:fill="FFFFFF"/>
        </w:rPr>
        <w:t>一般公共服务（类）财政事务（款）一般行政管理事务（项）：反映行政单位（包括实行公务员管理的事业单位）未单独设置项级科目的其他项目支出。</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9.</w:t>
      </w:r>
      <w:r>
        <w:rPr>
          <w:rFonts w:ascii="仿宋" w:eastAsia="仿宋" w:hAnsi="仿宋" w:cs="仿宋" w:hint="eastAsia"/>
          <w:color w:val="2B3F59"/>
          <w:sz w:val="28"/>
          <w:szCs w:val="28"/>
          <w:shd w:val="clear" w:color="auto" w:fill="FFFFFF"/>
        </w:rPr>
        <w:t>一般公共服务（类）财政事务（款）预算改革业务（项）：反映财政单位用于预算改革方面的支出。</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10.</w:t>
      </w:r>
      <w:r>
        <w:rPr>
          <w:rFonts w:ascii="仿宋" w:eastAsia="仿宋" w:hAnsi="仿宋" w:cs="仿宋" w:hint="eastAsia"/>
          <w:color w:val="2B3F59"/>
          <w:sz w:val="28"/>
          <w:szCs w:val="28"/>
          <w:shd w:val="clear" w:color="auto" w:fill="FFFFFF"/>
        </w:rPr>
        <w:t>一般公共服</w:t>
      </w:r>
      <w:r>
        <w:rPr>
          <w:rFonts w:ascii="仿宋" w:eastAsia="仿宋" w:hAnsi="仿宋" w:cs="仿宋" w:hint="eastAsia"/>
          <w:color w:val="2B3F59"/>
          <w:sz w:val="28"/>
          <w:szCs w:val="28"/>
          <w:shd w:val="clear" w:color="auto" w:fill="FFFFFF"/>
        </w:rPr>
        <w:t>务（类）财政事务（款）财政国库业务（项）：反映财政单位用于财政国库集中收付业务方面的支出。</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11.</w:t>
      </w:r>
      <w:r>
        <w:rPr>
          <w:rFonts w:ascii="仿宋" w:eastAsia="仿宋" w:hAnsi="仿宋" w:cs="仿宋" w:hint="eastAsia"/>
          <w:color w:val="2B3F59"/>
          <w:sz w:val="28"/>
          <w:szCs w:val="28"/>
          <w:shd w:val="clear" w:color="auto" w:fill="FFFFFF"/>
        </w:rPr>
        <w:t>一般公共服务（类）财政事务（款）事业运行（项）：反映事业单位的基本支出，不包括行政单位（包括实行公务员管理的事业单位）后勤服务中心、医务室等附属事业单位。</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12.</w:t>
      </w:r>
      <w:r>
        <w:rPr>
          <w:rFonts w:ascii="仿宋" w:eastAsia="仿宋" w:hAnsi="仿宋" w:cs="仿宋" w:hint="eastAsia"/>
          <w:color w:val="2B3F59"/>
          <w:sz w:val="28"/>
          <w:szCs w:val="28"/>
          <w:shd w:val="clear" w:color="auto" w:fill="FFFFFF"/>
        </w:rPr>
        <w:t>一般公共服务（类）财政事务（款）其他财政事务支出（项）：反映除上述项目以外其他财政事务方面的支出。</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13.</w:t>
      </w:r>
      <w:r>
        <w:rPr>
          <w:rFonts w:ascii="仿宋" w:eastAsia="仿宋" w:hAnsi="仿宋" w:cs="仿宋" w:hint="eastAsia"/>
          <w:color w:val="2B3F59"/>
          <w:sz w:val="28"/>
          <w:szCs w:val="28"/>
          <w:shd w:val="clear" w:color="auto" w:fill="FFFFFF"/>
        </w:rPr>
        <w:t>社会保障和就业（类）行政事业单位离退休（款）归口管理的行政单位离退休（项）：反映实行归口管理的行政单位（包括实行公务员管理的事业单位）</w:t>
      </w:r>
      <w:r>
        <w:rPr>
          <w:rFonts w:ascii="仿宋" w:eastAsia="仿宋" w:hAnsi="仿宋" w:cs="仿宋" w:hint="eastAsia"/>
          <w:color w:val="2B3F59"/>
          <w:sz w:val="28"/>
          <w:szCs w:val="28"/>
          <w:shd w:val="clear" w:color="auto" w:fill="FFFFFF"/>
        </w:rPr>
        <w:t>开支的离退休经费。</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14.</w:t>
      </w:r>
      <w:r>
        <w:rPr>
          <w:rFonts w:ascii="仿宋" w:eastAsia="仿宋" w:hAnsi="仿宋" w:cs="仿宋" w:hint="eastAsia"/>
          <w:color w:val="2B3F59"/>
          <w:sz w:val="28"/>
          <w:szCs w:val="28"/>
          <w:shd w:val="clear" w:color="auto" w:fill="FFFFFF"/>
        </w:rPr>
        <w:t>社会保障和就业（类）行政事业单位离退休（款）事业单位离退休（项）：反映实行归口管理的事业单位开支的离退休经费。</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15.</w:t>
      </w:r>
      <w:r>
        <w:rPr>
          <w:rFonts w:ascii="仿宋" w:eastAsia="仿宋" w:hAnsi="仿宋" w:cs="仿宋" w:hint="eastAsia"/>
          <w:color w:val="2B3F59"/>
          <w:sz w:val="28"/>
          <w:szCs w:val="28"/>
          <w:shd w:val="clear" w:color="auto" w:fill="FFFFFF"/>
        </w:rPr>
        <w:t>医疗卫生与计划生育（类）医疗保障（款）行政单位医疗（项）：反映财政单位集中安排的行政单位基本医疗保险缴费经费，</w:t>
      </w:r>
      <w:r>
        <w:rPr>
          <w:rFonts w:ascii="仿宋" w:eastAsia="仿宋" w:hAnsi="仿宋" w:cs="仿宋" w:hint="eastAsia"/>
          <w:color w:val="2B3F59"/>
          <w:sz w:val="28"/>
          <w:szCs w:val="28"/>
          <w:shd w:val="clear" w:color="auto" w:fill="FFFFFF"/>
        </w:rPr>
        <w:lastRenderedPageBreak/>
        <w:t>未参加医疗保险的行政单位的公费医疗经费，按国家规定享受离休人员、红军老战士待遇人员的医疗经费。</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16.</w:t>
      </w:r>
      <w:r>
        <w:rPr>
          <w:rFonts w:ascii="仿宋" w:eastAsia="仿宋" w:hAnsi="仿宋" w:cs="仿宋" w:hint="eastAsia"/>
          <w:color w:val="2B3F59"/>
          <w:sz w:val="28"/>
          <w:szCs w:val="28"/>
          <w:shd w:val="clear" w:color="auto" w:fill="FFFFFF"/>
        </w:rPr>
        <w:t>医疗卫生与计划生育（类）医疗保障（款）事业单位医疗（项）：反映财政单位集中安排的事业单位基本医疗保险缴费经费，未参加医疗保险的事业单位的公费医疗经费，按国家规定享受离休人员待遇人员的医疗经费。</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r>
        <w:rPr>
          <w:rFonts w:ascii="仿宋" w:eastAsia="仿宋" w:hAnsi="仿宋" w:cs="仿宋" w:hint="eastAsia"/>
          <w:color w:val="2B3F59"/>
          <w:sz w:val="28"/>
          <w:szCs w:val="28"/>
          <w:shd w:val="clear" w:color="auto" w:fill="FFFFFF"/>
        </w:rPr>
        <w:t>17.</w:t>
      </w:r>
      <w:r>
        <w:rPr>
          <w:rFonts w:ascii="仿宋" w:eastAsia="仿宋" w:hAnsi="仿宋" w:cs="仿宋" w:hint="eastAsia"/>
          <w:color w:val="2B3F59"/>
          <w:sz w:val="28"/>
          <w:szCs w:val="28"/>
          <w:shd w:val="clear" w:color="auto" w:fill="FFFFFF"/>
        </w:rPr>
        <w:t>住房保障（类）住房改革（款）住房公积金（项）：反映行政事业单位按人力资源和社会保障部、财政部规定的基本工资和津贴补贴以及规定比例为职工缴纳的住房公积金。</w:t>
      </w:r>
    </w:p>
    <w:p w:rsidR="006A33C6" w:rsidRDefault="00B22871">
      <w:pPr>
        <w:pStyle w:val="a5"/>
        <w:widowControl/>
        <w:spacing w:beforeAutospacing="0" w:after="225" w:afterAutospacing="0" w:line="480" w:lineRule="atLeast"/>
        <w:ind w:right="226"/>
        <w:jc w:val="both"/>
        <w:rPr>
          <w:rFonts w:ascii="仿宋" w:eastAsia="仿宋" w:hAnsi="仿宋" w:cs="仿宋"/>
          <w:sz w:val="28"/>
          <w:szCs w:val="28"/>
        </w:rPr>
      </w:pPr>
      <w:r>
        <w:rPr>
          <w:rFonts w:ascii="仿宋" w:eastAsia="仿宋" w:hAnsi="仿宋" w:cs="仿宋" w:hint="eastAsia"/>
          <w:color w:val="2B3F59"/>
          <w:sz w:val="28"/>
          <w:szCs w:val="28"/>
          <w:shd w:val="clear" w:color="auto" w:fill="FFFFFF"/>
        </w:rPr>
        <w:t xml:space="preserve">　</w:t>
      </w:r>
    </w:p>
    <w:p w:rsidR="006A33C6" w:rsidRDefault="006A33C6">
      <w:pPr>
        <w:rPr>
          <w:rFonts w:ascii="仿宋" w:eastAsia="仿宋" w:hAnsi="仿宋" w:cs="仿宋"/>
          <w:sz w:val="28"/>
          <w:szCs w:val="28"/>
        </w:rPr>
      </w:pPr>
    </w:p>
    <w:sectPr w:rsidR="006A33C6" w:rsidSect="006A33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871" w:rsidRDefault="00B22871" w:rsidP="001015FA">
      <w:r>
        <w:separator/>
      </w:r>
    </w:p>
  </w:endnote>
  <w:endnote w:type="continuationSeparator" w:id="1">
    <w:p w:rsidR="00B22871" w:rsidRDefault="00B22871" w:rsidP="00101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0A87" w:usb1="00000000" w:usb2="00000000" w:usb3="00000000" w:csb0="000001B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871" w:rsidRDefault="00B22871" w:rsidP="001015FA">
      <w:r>
        <w:separator/>
      </w:r>
    </w:p>
  </w:footnote>
  <w:footnote w:type="continuationSeparator" w:id="1">
    <w:p w:rsidR="00B22871" w:rsidRDefault="00B22871" w:rsidP="001015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BmMTc1ZjMwOWJjZWQ2ODVhYTk4YWY5YTE4ZGVmMjMifQ=="/>
  </w:docVars>
  <w:rsids>
    <w:rsidRoot w:val="006A33C6"/>
    <w:rsid w:val="001015FA"/>
    <w:rsid w:val="006A33C6"/>
    <w:rsid w:val="00B22871"/>
    <w:rsid w:val="26940045"/>
    <w:rsid w:val="2D3571D7"/>
    <w:rsid w:val="47AC3472"/>
    <w:rsid w:val="4FEB1CCB"/>
    <w:rsid w:val="5D924A61"/>
    <w:rsid w:val="7FF632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6A33C6"/>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6A33C6"/>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6A33C6"/>
    <w:pPr>
      <w:ind w:firstLineChars="200" w:firstLine="420"/>
      <w:jc w:val="left"/>
    </w:pPr>
    <w:rPr>
      <w:color w:val="000000"/>
      <w:kern w:val="0"/>
      <w:sz w:val="24"/>
    </w:rPr>
  </w:style>
  <w:style w:type="paragraph" w:styleId="a3">
    <w:name w:val="Body Text Indent"/>
    <w:basedOn w:val="a"/>
    <w:next w:val="a4"/>
    <w:autoRedefine/>
    <w:qFormat/>
    <w:rsid w:val="006A33C6"/>
    <w:pPr>
      <w:spacing w:after="120"/>
      <w:ind w:leftChars="200" w:left="420"/>
    </w:pPr>
  </w:style>
  <w:style w:type="paragraph" w:styleId="a4">
    <w:name w:val="Normal Indent"/>
    <w:basedOn w:val="a"/>
    <w:next w:val="a"/>
    <w:autoRedefine/>
    <w:uiPriority w:val="99"/>
    <w:qFormat/>
    <w:rsid w:val="006A33C6"/>
    <w:pPr>
      <w:ind w:firstLineChars="200" w:firstLine="420"/>
    </w:pPr>
    <w:rPr>
      <w:rFonts w:ascii="Calibri" w:eastAsia="仿宋" w:hAnsi="Calibri" w:cs="宋体"/>
      <w:sz w:val="32"/>
    </w:rPr>
  </w:style>
  <w:style w:type="paragraph" w:styleId="a5">
    <w:name w:val="Normal (Web)"/>
    <w:basedOn w:val="a"/>
    <w:autoRedefine/>
    <w:qFormat/>
    <w:rsid w:val="006A33C6"/>
    <w:pPr>
      <w:spacing w:beforeAutospacing="1" w:afterAutospacing="1"/>
      <w:jc w:val="left"/>
    </w:pPr>
    <w:rPr>
      <w:rFonts w:cs="Times New Roman"/>
      <w:kern w:val="0"/>
      <w:sz w:val="24"/>
    </w:rPr>
  </w:style>
  <w:style w:type="character" w:styleId="a6">
    <w:name w:val="Hyperlink"/>
    <w:basedOn w:val="a0"/>
    <w:autoRedefine/>
    <w:qFormat/>
    <w:rsid w:val="006A33C6"/>
    <w:rPr>
      <w:color w:val="0000FF"/>
      <w:u w:val="single"/>
    </w:rPr>
  </w:style>
  <w:style w:type="paragraph" w:styleId="a7">
    <w:name w:val="header"/>
    <w:basedOn w:val="a"/>
    <w:link w:val="Char"/>
    <w:rsid w:val="001015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015FA"/>
    <w:rPr>
      <w:rFonts w:asciiTheme="minorHAnsi" w:eastAsiaTheme="minorEastAsia" w:hAnsiTheme="minorHAnsi" w:cstheme="minorBidi"/>
      <w:kern w:val="2"/>
      <w:sz w:val="18"/>
      <w:szCs w:val="18"/>
    </w:rPr>
  </w:style>
  <w:style w:type="paragraph" w:styleId="a8">
    <w:name w:val="footer"/>
    <w:basedOn w:val="a"/>
    <w:link w:val="Char0"/>
    <w:rsid w:val="001015FA"/>
    <w:pPr>
      <w:tabs>
        <w:tab w:val="center" w:pos="4153"/>
        <w:tab w:val="right" w:pos="8306"/>
      </w:tabs>
      <w:snapToGrid w:val="0"/>
      <w:jc w:val="left"/>
    </w:pPr>
    <w:rPr>
      <w:sz w:val="18"/>
      <w:szCs w:val="18"/>
    </w:rPr>
  </w:style>
  <w:style w:type="character" w:customStyle="1" w:styleId="Char0">
    <w:name w:val="页脚 Char"/>
    <w:basedOn w:val="a0"/>
    <w:link w:val="a8"/>
    <w:rsid w:val="001015F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541</Words>
  <Characters>3088</Characters>
  <Application>Microsoft Office Word</Application>
  <DocSecurity>0</DocSecurity>
  <Lines>25</Lines>
  <Paragraphs>7</Paragraphs>
  <ScaleCrop>false</ScaleCrop>
  <Company>China</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2024-01-15T05:58:00Z</dcterms:created>
  <dcterms:modified xsi:type="dcterms:W3CDTF">2024-01-15T05:58:00Z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4F95C28B615B44339F7DD0D720330A66_12</vt:lpwstr>
  </property>
</Properties>
</file>