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atLeast"/>
        <w:jc w:val="center"/>
        <w:rPr>
          <w:rFonts w:ascii="微软雅黑" w:hAnsi="微软雅黑" w:eastAsia="微软雅黑" w:cs="宋体"/>
          <w:color w:val="000000"/>
          <w:kern w:val="0"/>
          <w:sz w:val="36"/>
          <w:szCs w:val="36"/>
        </w:rPr>
      </w:pPr>
      <w:r>
        <w:rPr>
          <w:rFonts w:hint="eastAsia" w:ascii="宋体" w:hAnsi="宋体" w:eastAsia="宋体" w:cs="宋体"/>
          <w:b/>
          <w:bCs/>
          <w:color w:val="000000"/>
          <w:kern w:val="0"/>
          <w:sz w:val="36"/>
          <w:szCs w:val="36"/>
        </w:rPr>
        <w:t>调兵山市</w:t>
      </w:r>
      <w:r>
        <w:rPr>
          <w:rFonts w:hint="eastAsia" w:ascii="宋体" w:hAnsi="宋体" w:eastAsia="宋体" w:cs="宋体"/>
          <w:b/>
          <w:bCs/>
          <w:color w:val="000000"/>
          <w:kern w:val="0"/>
          <w:sz w:val="36"/>
          <w:szCs w:val="36"/>
          <w:lang w:eastAsia="zh-CN"/>
        </w:rPr>
        <w:t>住房和城乡建设局</w:t>
      </w:r>
      <w:r>
        <w:rPr>
          <w:rFonts w:hint="eastAsia" w:ascii="宋体" w:hAnsi="宋体" w:eastAsia="宋体" w:cs="宋体"/>
          <w:b/>
          <w:bCs/>
          <w:color w:val="000000"/>
          <w:kern w:val="0"/>
          <w:sz w:val="36"/>
          <w:szCs w:val="36"/>
        </w:rPr>
        <w:t>2022年单位预算公开细则</w:t>
      </w:r>
    </w:p>
    <w:p>
      <w:pPr>
        <w:widowControl/>
        <w:spacing w:line="560" w:lineRule="atLeast"/>
        <w:jc w:val="center"/>
        <w:rPr>
          <w:rFonts w:ascii="微软雅黑" w:hAnsi="微软雅黑" w:eastAsia="微软雅黑" w:cs="宋体"/>
          <w:color w:val="000000"/>
          <w:kern w:val="0"/>
          <w:szCs w:val="21"/>
        </w:rPr>
      </w:pPr>
      <w:r>
        <w:rPr>
          <w:rFonts w:hint="eastAsia" w:ascii="黑体" w:hAnsi="黑体" w:eastAsia="黑体" w:cs="宋体"/>
          <w:color w:val="000000"/>
          <w:kern w:val="0"/>
          <w:sz w:val="32"/>
          <w:szCs w:val="32"/>
        </w:rPr>
        <w:t>目</w:t>
      </w:r>
      <w:r>
        <w:rPr>
          <w:rFonts w:hint="eastAsia" w:ascii="宋体" w:hAnsi="宋体" w:eastAsia="宋体" w:cs="宋体"/>
          <w:color w:val="000000"/>
          <w:kern w:val="0"/>
          <w:sz w:val="32"/>
          <w:szCs w:val="32"/>
        </w:rPr>
        <w:t>    </w:t>
      </w:r>
      <w:r>
        <w:rPr>
          <w:rFonts w:hint="eastAsia" w:ascii="黑体" w:hAnsi="黑体" w:eastAsia="黑体" w:cs="宋体"/>
          <w:color w:val="000000"/>
          <w:kern w:val="0"/>
          <w:sz w:val="32"/>
          <w:szCs w:val="32"/>
        </w:rPr>
        <w:t>录</w:t>
      </w:r>
    </w:p>
    <w:p>
      <w:pPr>
        <w:widowControl/>
        <w:spacing w:before="100" w:beforeAutospacing="1" w:after="100" w:afterAutospacing="1"/>
        <w:jc w:val="left"/>
        <w:rPr>
          <w:rFonts w:ascii="宋体" w:hAnsi="宋体" w:eastAsia="宋体" w:cs="宋体"/>
          <w:kern w:val="0"/>
          <w:sz w:val="24"/>
          <w:szCs w:val="24"/>
        </w:rPr>
      </w:pPr>
      <w:r>
        <w:rPr>
          <w:rFonts w:hint="eastAsia" w:ascii="仿宋" w:hAnsi="仿宋" w:eastAsia="仿宋" w:cs="宋体"/>
          <w:b/>
          <w:bCs/>
          <w:kern w:val="0"/>
          <w:sz w:val="32"/>
        </w:rPr>
        <w:t xml:space="preserve">第一部分 </w:t>
      </w:r>
      <w:r>
        <w:rPr>
          <w:rFonts w:hint="eastAsia" w:ascii="仿宋" w:hAnsi="仿宋" w:eastAsia="仿宋" w:cs="宋体"/>
          <w:b/>
          <w:bCs/>
          <w:kern w:val="0"/>
          <w:sz w:val="32"/>
          <w:lang w:eastAsia="zh-CN"/>
        </w:rPr>
        <w:t>   调兵山市住房和城乡建设局概况</w:t>
      </w:r>
    </w:p>
    <w:p>
      <w:pPr>
        <w:widowControl/>
        <w:spacing w:before="100" w:beforeAutospacing="1" w:after="100" w:afterAutospacing="1"/>
        <w:jc w:val="left"/>
        <w:rPr>
          <w:rFonts w:ascii="宋体" w:hAnsi="宋体" w:eastAsia="宋体" w:cs="宋体"/>
          <w:kern w:val="0"/>
          <w:sz w:val="24"/>
          <w:szCs w:val="24"/>
        </w:rPr>
      </w:pPr>
      <w:r>
        <w:rPr>
          <w:rFonts w:hint="eastAsia" w:ascii="仿宋" w:hAnsi="仿宋" w:eastAsia="仿宋" w:cs="宋体"/>
          <w:kern w:val="0"/>
          <w:sz w:val="32"/>
          <w:szCs w:val="32"/>
        </w:rPr>
        <w:t>1.主要职责</w:t>
      </w:r>
    </w:p>
    <w:p>
      <w:pPr>
        <w:widowControl/>
        <w:spacing w:before="100" w:beforeAutospacing="1" w:after="100" w:afterAutospacing="1"/>
        <w:jc w:val="left"/>
        <w:rPr>
          <w:rFonts w:ascii="宋体" w:hAnsi="宋体" w:eastAsia="宋体" w:cs="宋体"/>
          <w:kern w:val="0"/>
          <w:sz w:val="24"/>
          <w:szCs w:val="24"/>
        </w:rPr>
      </w:pPr>
      <w:r>
        <w:rPr>
          <w:rFonts w:hint="eastAsia" w:ascii="仿宋" w:hAnsi="仿宋" w:eastAsia="仿宋" w:cs="宋体"/>
          <w:kern w:val="0"/>
          <w:sz w:val="32"/>
          <w:szCs w:val="32"/>
        </w:rPr>
        <w:t>2.预算单位构成</w:t>
      </w:r>
    </w:p>
    <w:p>
      <w:pPr>
        <w:widowControl/>
        <w:spacing w:before="100" w:beforeAutospacing="1" w:after="100" w:afterAutospacing="1"/>
        <w:jc w:val="left"/>
        <w:rPr>
          <w:rFonts w:ascii="宋体" w:hAnsi="宋体" w:eastAsia="宋体" w:cs="宋体"/>
          <w:kern w:val="0"/>
          <w:sz w:val="24"/>
          <w:szCs w:val="24"/>
        </w:rPr>
      </w:pPr>
      <w:r>
        <w:rPr>
          <w:rFonts w:hint="eastAsia" w:ascii="仿宋" w:hAnsi="仿宋" w:eastAsia="仿宋" w:cs="宋体"/>
          <w:b/>
          <w:bCs/>
          <w:kern w:val="0"/>
          <w:sz w:val="32"/>
        </w:rPr>
        <w:t xml:space="preserve">第二部分 </w:t>
      </w:r>
      <w:r>
        <w:rPr>
          <w:rFonts w:hint="eastAsia" w:ascii="仿宋" w:hAnsi="仿宋" w:eastAsia="仿宋" w:cs="宋体"/>
          <w:b/>
          <w:bCs/>
          <w:kern w:val="0"/>
          <w:sz w:val="32"/>
          <w:lang w:eastAsia="zh-CN"/>
        </w:rPr>
        <w:t>调兵山市住房和城乡建设局</w:t>
      </w:r>
      <w:r>
        <w:rPr>
          <w:rFonts w:hint="eastAsia" w:ascii="仿宋" w:hAnsi="仿宋" w:eastAsia="仿宋" w:cs="宋体"/>
          <w:b/>
          <w:bCs/>
          <w:kern w:val="0"/>
          <w:sz w:val="32"/>
        </w:rPr>
        <w:t>2022年单位预算公开表</w:t>
      </w:r>
    </w:p>
    <w:p>
      <w:pPr>
        <w:pStyle w:val="4"/>
        <w:shd w:val="clear" w:color="auto" w:fill="FFFFFF"/>
        <w:spacing w:before="0" w:beforeAutospacing="0" w:after="0" w:afterAutospacing="0"/>
        <w:rPr>
          <w:rFonts w:hint="eastAsia" w:ascii="仿宋" w:hAnsi="仿宋" w:eastAsia="仿宋"/>
          <w:color w:val="000000"/>
          <w:sz w:val="32"/>
          <w:szCs w:val="32"/>
        </w:rPr>
      </w:pPr>
      <w:r>
        <w:rPr>
          <w:rFonts w:hint="eastAsia" w:ascii="仿宋" w:hAnsi="仿宋" w:eastAsia="仿宋"/>
          <w:color w:val="000000"/>
          <w:sz w:val="32"/>
          <w:szCs w:val="32"/>
        </w:rPr>
        <w:t>1.2022年预算收支总表</w:t>
      </w:r>
    </w:p>
    <w:p>
      <w:pPr>
        <w:pStyle w:val="4"/>
        <w:shd w:val="clear" w:color="auto" w:fill="FFFFFF"/>
        <w:spacing w:before="0" w:beforeAutospacing="0" w:after="0" w:afterAutospacing="0"/>
        <w:rPr>
          <w:rFonts w:hint="eastAsia" w:ascii="仿宋" w:hAnsi="仿宋" w:eastAsia="仿宋"/>
          <w:color w:val="000000"/>
          <w:sz w:val="32"/>
          <w:szCs w:val="32"/>
        </w:rPr>
      </w:pPr>
      <w:r>
        <w:rPr>
          <w:rFonts w:hint="eastAsia" w:ascii="仿宋" w:hAnsi="仿宋" w:eastAsia="仿宋"/>
          <w:color w:val="000000"/>
          <w:sz w:val="32"/>
          <w:szCs w:val="32"/>
        </w:rPr>
        <w:t>2.2022年收入预算总表</w:t>
      </w:r>
    </w:p>
    <w:p>
      <w:pPr>
        <w:pStyle w:val="4"/>
        <w:shd w:val="clear" w:color="auto" w:fill="FFFFFF"/>
        <w:spacing w:before="0" w:beforeAutospacing="0" w:after="0" w:afterAutospacing="0"/>
        <w:rPr>
          <w:rFonts w:hint="eastAsia" w:ascii="仿宋" w:hAnsi="仿宋" w:eastAsia="仿宋"/>
          <w:color w:val="000000"/>
          <w:sz w:val="32"/>
          <w:szCs w:val="32"/>
        </w:rPr>
      </w:pPr>
      <w:r>
        <w:rPr>
          <w:rFonts w:hint="eastAsia" w:ascii="仿宋" w:hAnsi="仿宋" w:eastAsia="仿宋"/>
          <w:color w:val="000000"/>
          <w:sz w:val="32"/>
          <w:szCs w:val="32"/>
        </w:rPr>
        <w:t>3.2022年支出预算总表</w:t>
      </w:r>
    </w:p>
    <w:p>
      <w:pPr>
        <w:pStyle w:val="4"/>
        <w:shd w:val="clear" w:color="auto" w:fill="FFFFFF"/>
        <w:spacing w:before="0" w:beforeAutospacing="0" w:after="0" w:afterAutospacing="0"/>
        <w:rPr>
          <w:rFonts w:hint="eastAsia" w:ascii="仿宋" w:hAnsi="仿宋" w:eastAsia="仿宋"/>
          <w:color w:val="000000"/>
          <w:sz w:val="32"/>
          <w:szCs w:val="32"/>
        </w:rPr>
      </w:pPr>
      <w:r>
        <w:rPr>
          <w:rFonts w:hint="eastAsia" w:ascii="仿宋" w:hAnsi="仿宋" w:eastAsia="仿宋"/>
          <w:color w:val="000000"/>
          <w:sz w:val="32"/>
          <w:szCs w:val="32"/>
        </w:rPr>
        <w:t>4.2022年功能分类科目安排的支出表</w:t>
      </w:r>
    </w:p>
    <w:p>
      <w:pPr>
        <w:pStyle w:val="4"/>
        <w:shd w:val="clear" w:color="auto" w:fill="FFFFFF"/>
        <w:spacing w:before="0" w:beforeAutospacing="0" w:after="0" w:afterAutospacing="0"/>
        <w:rPr>
          <w:rFonts w:hint="eastAsia" w:ascii="仿宋" w:hAnsi="仿宋" w:eastAsia="仿宋"/>
          <w:color w:val="000000"/>
          <w:sz w:val="32"/>
          <w:szCs w:val="32"/>
        </w:rPr>
      </w:pPr>
      <w:r>
        <w:rPr>
          <w:rFonts w:hint="eastAsia" w:ascii="仿宋" w:hAnsi="仿宋" w:eastAsia="仿宋"/>
          <w:color w:val="000000"/>
          <w:sz w:val="32"/>
          <w:szCs w:val="32"/>
        </w:rPr>
        <w:t>5.2022年政府预算支出经济分类情况表</w:t>
      </w:r>
    </w:p>
    <w:p>
      <w:pPr>
        <w:pStyle w:val="4"/>
        <w:shd w:val="clear" w:color="auto" w:fill="FFFFFF"/>
        <w:spacing w:before="0" w:beforeAutospacing="0" w:after="0" w:afterAutospacing="0"/>
        <w:rPr>
          <w:rFonts w:hint="eastAsia" w:ascii="仿宋" w:hAnsi="仿宋" w:eastAsia="仿宋"/>
          <w:color w:val="000000"/>
          <w:sz w:val="32"/>
          <w:szCs w:val="32"/>
        </w:rPr>
      </w:pPr>
      <w:r>
        <w:rPr>
          <w:rFonts w:hint="eastAsia" w:ascii="仿宋" w:hAnsi="仿宋" w:eastAsia="仿宋"/>
          <w:color w:val="000000"/>
          <w:sz w:val="32"/>
          <w:szCs w:val="32"/>
        </w:rPr>
        <w:t>6.2022年部门预算支出经济分类情况表</w:t>
      </w:r>
    </w:p>
    <w:p>
      <w:pPr>
        <w:pStyle w:val="4"/>
        <w:shd w:val="clear" w:color="auto" w:fill="FFFFFF"/>
        <w:spacing w:before="0" w:beforeAutospacing="0" w:after="0" w:afterAutospacing="0"/>
        <w:rPr>
          <w:rFonts w:hint="eastAsia" w:ascii="仿宋" w:hAnsi="仿宋" w:eastAsia="仿宋"/>
          <w:color w:val="000000"/>
          <w:sz w:val="32"/>
          <w:szCs w:val="32"/>
        </w:rPr>
      </w:pPr>
      <w:r>
        <w:rPr>
          <w:rFonts w:hint="eastAsia" w:ascii="仿宋" w:hAnsi="仿宋" w:eastAsia="仿宋"/>
          <w:color w:val="000000"/>
          <w:sz w:val="32"/>
          <w:szCs w:val="32"/>
        </w:rPr>
        <w:t>7.2022年财政拨款收支预算总表</w:t>
      </w:r>
    </w:p>
    <w:p>
      <w:pPr>
        <w:pStyle w:val="4"/>
        <w:shd w:val="clear" w:color="auto" w:fill="FFFFFF"/>
        <w:spacing w:before="0" w:beforeAutospacing="0" w:after="0" w:afterAutospacing="0"/>
        <w:rPr>
          <w:rFonts w:hint="eastAsia" w:ascii="仿宋" w:hAnsi="仿宋" w:eastAsia="仿宋"/>
          <w:color w:val="000000"/>
          <w:sz w:val="32"/>
          <w:szCs w:val="32"/>
        </w:rPr>
      </w:pPr>
      <w:r>
        <w:rPr>
          <w:rFonts w:hint="eastAsia" w:ascii="仿宋" w:hAnsi="仿宋" w:eastAsia="仿宋"/>
          <w:color w:val="000000"/>
          <w:sz w:val="32"/>
          <w:szCs w:val="32"/>
        </w:rPr>
        <w:t>8.2022年财政拨款收入安排支出表</w:t>
      </w:r>
    </w:p>
    <w:p>
      <w:pPr>
        <w:pStyle w:val="4"/>
        <w:shd w:val="clear" w:color="auto" w:fill="FFFFFF"/>
        <w:spacing w:before="0" w:beforeAutospacing="0" w:after="0" w:afterAutospacing="0"/>
        <w:rPr>
          <w:rFonts w:hint="eastAsia" w:ascii="仿宋" w:hAnsi="仿宋" w:eastAsia="仿宋"/>
          <w:color w:val="000000"/>
          <w:sz w:val="32"/>
          <w:szCs w:val="32"/>
        </w:rPr>
      </w:pPr>
      <w:r>
        <w:rPr>
          <w:rFonts w:hint="eastAsia" w:ascii="仿宋" w:hAnsi="仿宋" w:eastAsia="仿宋"/>
          <w:color w:val="000000"/>
          <w:sz w:val="32"/>
          <w:szCs w:val="32"/>
        </w:rPr>
        <w:t>9.2022年一般公共预算支出表</w:t>
      </w:r>
    </w:p>
    <w:p>
      <w:pPr>
        <w:pStyle w:val="4"/>
        <w:shd w:val="clear" w:color="auto" w:fill="FFFFFF"/>
        <w:spacing w:before="0" w:beforeAutospacing="0" w:after="0" w:afterAutospacing="0"/>
        <w:rPr>
          <w:rFonts w:hint="eastAsia" w:ascii="仿宋" w:hAnsi="仿宋" w:eastAsia="仿宋"/>
          <w:color w:val="000000"/>
          <w:sz w:val="32"/>
          <w:szCs w:val="32"/>
        </w:rPr>
      </w:pPr>
      <w:r>
        <w:rPr>
          <w:rFonts w:hint="eastAsia" w:ascii="仿宋" w:hAnsi="仿宋" w:eastAsia="仿宋"/>
          <w:color w:val="000000"/>
          <w:sz w:val="32"/>
          <w:szCs w:val="32"/>
        </w:rPr>
        <w:t>10.2022</w:t>
      </w:r>
      <w:r>
        <w:rPr>
          <w:rFonts w:hint="eastAsia" w:ascii="仿宋" w:hAnsi="仿宋" w:eastAsia="仿宋"/>
          <w:color w:val="000000"/>
          <w:sz w:val="32"/>
          <w:szCs w:val="32"/>
          <w:lang w:eastAsia="zh-CN"/>
        </w:rPr>
        <w:t>年</w:t>
      </w:r>
      <w:r>
        <w:rPr>
          <w:rFonts w:hint="eastAsia" w:ascii="仿宋" w:hAnsi="仿宋" w:eastAsia="仿宋"/>
          <w:color w:val="000000"/>
          <w:sz w:val="32"/>
          <w:szCs w:val="32"/>
        </w:rPr>
        <w:t>一般公共预算基本支出表</w:t>
      </w:r>
    </w:p>
    <w:p>
      <w:pPr>
        <w:pStyle w:val="4"/>
        <w:shd w:val="clear" w:color="auto" w:fill="FFFFFF"/>
        <w:spacing w:before="0" w:beforeAutospacing="0" w:after="0" w:afterAutospacing="0"/>
        <w:rPr>
          <w:rFonts w:hint="eastAsia" w:ascii="仿宋" w:hAnsi="仿宋" w:eastAsia="仿宋"/>
          <w:color w:val="000000"/>
          <w:sz w:val="32"/>
          <w:szCs w:val="32"/>
        </w:rPr>
      </w:pPr>
      <w:r>
        <w:rPr>
          <w:rFonts w:hint="eastAsia" w:ascii="仿宋" w:hAnsi="仿宋" w:eastAsia="仿宋"/>
          <w:color w:val="000000"/>
          <w:sz w:val="32"/>
          <w:szCs w:val="32"/>
        </w:rPr>
        <w:t>11.2022年政府性基金收入安排的预算支出表</w:t>
      </w:r>
    </w:p>
    <w:p>
      <w:pPr>
        <w:pStyle w:val="4"/>
        <w:shd w:val="clear" w:color="auto" w:fill="FFFFFF"/>
        <w:spacing w:before="0" w:beforeAutospacing="0" w:after="0" w:afterAutospacing="0"/>
        <w:rPr>
          <w:rFonts w:hint="eastAsia" w:ascii="仿宋" w:hAnsi="仿宋" w:eastAsia="仿宋"/>
          <w:color w:val="000000"/>
          <w:sz w:val="32"/>
          <w:szCs w:val="32"/>
        </w:rPr>
      </w:pPr>
      <w:r>
        <w:rPr>
          <w:rFonts w:hint="eastAsia" w:ascii="仿宋" w:hAnsi="仿宋" w:eastAsia="仿宋"/>
          <w:color w:val="000000"/>
          <w:sz w:val="32"/>
          <w:szCs w:val="32"/>
        </w:rPr>
        <w:t>12.2022年省提前告收入安排的支出表</w:t>
      </w:r>
    </w:p>
    <w:p>
      <w:pPr>
        <w:pStyle w:val="4"/>
        <w:shd w:val="clear" w:color="auto" w:fill="FFFFFF"/>
        <w:spacing w:before="0" w:beforeAutospacing="0" w:after="0" w:afterAutospacing="0"/>
        <w:rPr>
          <w:rFonts w:hint="eastAsia" w:ascii="仿宋" w:hAnsi="仿宋" w:eastAsia="仿宋"/>
          <w:color w:val="000000"/>
          <w:sz w:val="32"/>
          <w:szCs w:val="32"/>
        </w:rPr>
      </w:pPr>
      <w:r>
        <w:rPr>
          <w:rFonts w:hint="eastAsia" w:ascii="仿宋" w:hAnsi="仿宋" w:eastAsia="仿宋"/>
          <w:color w:val="000000"/>
          <w:sz w:val="32"/>
          <w:szCs w:val="32"/>
        </w:rPr>
        <w:t>13.2022年纳入预算管理的行政事业性收费收入安排的预算支出表</w:t>
      </w:r>
    </w:p>
    <w:p>
      <w:pPr>
        <w:pStyle w:val="4"/>
        <w:shd w:val="clear" w:color="auto" w:fill="FFFFFF"/>
        <w:spacing w:before="0" w:beforeAutospacing="0" w:after="0" w:afterAutospacing="0"/>
        <w:rPr>
          <w:rFonts w:hint="eastAsia" w:ascii="仿宋" w:hAnsi="仿宋" w:eastAsia="仿宋"/>
          <w:color w:val="000000"/>
          <w:sz w:val="32"/>
          <w:szCs w:val="32"/>
        </w:rPr>
      </w:pPr>
      <w:r>
        <w:rPr>
          <w:rFonts w:hint="eastAsia" w:ascii="仿宋" w:hAnsi="仿宋" w:eastAsia="仿宋"/>
          <w:color w:val="000000"/>
          <w:sz w:val="32"/>
          <w:szCs w:val="32"/>
        </w:rPr>
        <w:t>14.2022年纳入专户管理的行政事业性收费收入安排的预算支出表</w:t>
      </w:r>
    </w:p>
    <w:p>
      <w:pPr>
        <w:pStyle w:val="4"/>
        <w:shd w:val="clear" w:color="auto" w:fill="FFFFFF"/>
        <w:spacing w:before="0" w:beforeAutospacing="0" w:after="0" w:afterAutospacing="0"/>
        <w:rPr>
          <w:rFonts w:hint="eastAsia" w:ascii="仿宋" w:hAnsi="仿宋" w:eastAsia="仿宋"/>
          <w:color w:val="000000"/>
          <w:sz w:val="32"/>
          <w:szCs w:val="32"/>
        </w:rPr>
      </w:pPr>
      <w:r>
        <w:rPr>
          <w:rFonts w:hint="eastAsia" w:ascii="仿宋" w:hAnsi="仿宋" w:eastAsia="仿宋"/>
          <w:color w:val="000000"/>
          <w:sz w:val="32"/>
          <w:szCs w:val="32"/>
        </w:rPr>
        <w:t>15.2022年一般公共预算“三公”经费支出情况表</w:t>
      </w:r>
    </w:p>
    <w:p>
      <w:pPr>
        <w:pStyle w:val="4"/>
        <w:shd w:val="clear" w:color="auto" w:fill="FFFFFF"/>
        <w:spacing w:before="0" w:beforeAutospacing="0" w:after="0" w:afterAutospacing="0"/>
        <w:rPr>
          <w:rFonts w:hint="eastAsia" w:ascii="仿宋" w:hAnsi="仿宋" w:eastAsia="仿宋"/>
          <w:color w:val="000000"/>
          <w:sz w:val="32"/>
          <w:szCs w:val="32"/>
        </w:rPr>
      </w:pPr>
      <w:r>
        <w:rPr>
          <w:rFonts w:hint="eastAsia" w:ascii="仿宋" w:hAnsi="仿宋" w:eastAsia="仿宋"/>
          <w:color w:val="000000"/>
          <w:sz w:val="32"/>
          <w:szCs w:val="32"/>
        </w:rPr>
        <w:t>16. 2022年项目支出预算明细表</w:t>
      </w:r>
    </w:p>
    <w:p>
      <w:pPr>
        <w:pStyle w:val="4"/>
        <w:shd w:val="clear" w:color="auto" w:fill="FFFFFF"/>
        <w:spacing w:before="0" w:beforeAutospacing="0" w:after="0" w:afterAutospacing="0"/>
        <w:rPr>
          <w:rFonts w:hint="eastAsia" w:ascii="仿宋" w:hAnsi="仿宋" w:eastAsia="仿宋"/>
          <w:color w:val="000000"/>
          <w:sz w:val="32"/>
          <w:szCs w:val="32"/>
        </w:rPr>
      </w:pPr>
      <w:r>
        <w:rPr>
          <w:rFonts w:hint="eastAsia" w:ascii="仿宋" w:hAnsi="仿宋" w:eastAsia="仿宋"/>
          <w:color w:val="000000"/>
          <w:sz w:val="32"/>
          <w:szCs w:val="32"/>
        </w:rPr>
        <w:t>17. 2022年债务支出预算情况表</w:t>
      </w:r>
    </w:p>
    <w:p>
      <w:pPr>
        <w:pStyle w:val="4"/>
        <w:shd w:val="clear" w:color="auto" w:fill="FFFFFF"/>
        <w:spacing w:before="0" w:beforeAutospacing="0" w:after="0" w:afterAutospacing="0"/>
        <w:rPr>
          <w:rFonts w:hint="eastAsia" w:ascii="仿宋" w:hAnsi="仿宋" w:eastAsia="仿宋"/>
          <w:color w:val="000000"/>
          <w:sz w:val="32"/>
          <w:szCs w:val="32"/>
        </w:rPr>
      </w:pPr>
      <w:r>
        <w:rPr>
          <w:rFonts w:hint="eastAsia" w:ascii="仿宋" w:hAnsi="仿宋" w:eastAsia="仿宋"/>
          <w:color w:val="000000"/>
          <w:sz w:val="32"/>
          <w:szCs w:val="32"/>
        </w:rPr>
        <w:t>18. 2022年政府采购支出预算表</w:t>
      </w:r>
    </w:p>
    <w:p>
      <w:pPr>
        <w:pStyle w:val="4"/>
        <w:shd w:val="clear" w:color="auto" w:fill="FFFFFF"/>
        <w:spacing w:before="0" w:beforeAutospacing="0" w:after="0" w:afterAutospacing="0"/>
        <w:rPr>
          <w:rFonts w:hint="eastAsia" w:ascii="仿宋" w:hAnsi="仿宋" w:eastAsia="仿宋"/>
          <w:color w:val="000000"/>
          <w:sz w:val="32"/>
          <w:szCs w:val="32"/>
        </w:rPr>
      </w:pPr>
      <w:r>
        <w:rPr>
          <w:rFonts w:hint="eastAsia" w:ascii="仿宋" w:hAnsi="仿宋" w:eastAsia="仿宋"/>
          <w:color w:val="000000"/>
          <w:sz w:val="32"/>
          <w:szCs w:val="32"/>
        </w:rPr>
        <w:t>19. 2022年财政资金安排的政府购买服务项目支出预算表</w:t>
      </w:r>
    </w:p>
    <w:p>
      <w:pPr>
        <w:widowControl/>
        <w:spacing w:before="100" w:beforeAutospacing="1" w:after="100" w:afterAutospacing="1"/>
        <w:jc w:val="left"/>
        <w:rPr>
          <w:rFonts w:hint="eastAsia" w:ascii="仿宋" w:hAnsi="仿宋" w:eastAsia="仿宋" w:cs="宋体"/>
          <w:b/>
          <w:bCs/>
          <w:kern w:val="0"/>
          <w:sz w:val="32"/>
        </w:rPr>
      </w:pPr>
    </w:p>
    <w:p>
      <w:pPr>
        <w:widowControl/>
        <w:spacing w:before="100" w:beforeAutospacing="1" w:after="100" w:afterAutospacing="1"/>
        <w:jc w:val="left"/>
        <w:rPr>
          <w:rFonts w:ascii="宋体" w:hAnsi="宋体" w:eastAsia="宋体" w:cs="宋体"/>
          <w:kern w:val="0"/>
          <w:sz w:val="24"/>
          <w:szCs w:val="24"/>
        </w:rPr>
      </w:pPr>
      <w:r>
        <w:rPr>
          <w:rFonts w:hint="eastAsia" w:ascii="仿宋" w:hAnsi="仿宋" w:eastAsia="仿宋" w:cs="宋体"/>
          <w:b/>
          <w:bCs/>
          <w:kern w:val="0"/>
          <w:sz w:val="32"/>
        </w:rPr>
        <w:t>第三部分</w:t>
      </w:r>
      <w:r>
        <w:rPr>
          <w:rFonts w:hint="eastAsia" w:ascii="仿宋" w:hAnsi="仿宋" w:eastAsia="仿宋" w:cs="宋体"/>
          <w:b/>
          <w:bCs/>
          <w:kern w:val="0"/>
          <w:sz w:val="32"/>
          <w:lang w:val="en-US" w:eastAsia="zh-CN"/>
        </w:rPr>
        <w:t xml:space="preserve">   </w:t>
      </w:r>
      <w:r>
        <w:rPr>
          <w:rFonts w:hint="eastAsia" w:ascii="仿宋" w:hAnsi="仿宋" w:eastAsia="仿宋" w:cs="宋体"/>
          <w:b/>
          <w:bCs/>
          <w:kern w:val="0"/>
          <w:sz w:val="32"/>
        </w:rPr>
        <w:t>2022年预算情况说明</w:t>
      </w:r>
    </w:p>
    <w:p>
      <w:pPr>
        <w:widowControl/>
        <w:spacing w:before="100" w:beforeAutospacing="1" w:after="100" w:afterAutospacing="1"/>
        <w:jc w:val="left"/>
        <w:rPr>
          <w:rFonts w:ascii="宋体" w:hAnsi="宋体" w:eastAsia="宋体" w:cs="宋体"/>
          <w:kern w:val="0"/>
          <w:sz w:val="24"/>
          <w:szCs w:val="24"/>
        </w:rPr>
      </w:pPr>
      <w:r>
        <w:rPr>
          <w:rFonts w:hint="eastAsia" w:ascii="仿宋" w:hAnsi="仿宋" w:eastAsia="仿宋" w:cs="宋体"/>
          <w:b/>
          <w:bCs/>
          <w:kern w:val="0"/>
          <w:sz w:val="32"/>
        </w:rPr>
        <w:t xml:space="preserve">第四部分 </w:t>
      </w:r>
      <w:r>
        <w:rPr>
          <w:rFonts w:hint="eastAsia" w:ascii="宋体" w:hAnsi="宋体" w:eastAsia="宋体" w:cs="宋体"/>
          <w:b/>
          <w:bCs/>
          <w:kern w:val="0"/>
          <w:sz w:val="32"/>
        </w:rPr>
        <w:t>   </w:t>
      </w:r>
      <w:r>
        <w:rPr>
          <w:rFonts w:hint="eastAsia" w:ascii="仿宋" w:hAnsi="仿宋" w:eastAsia="仿宋" w:cs="宋体"/>
          <w:b/>
          <w:bCs/>
          <w:kern w:val="0"/>
          <w:sz w:val="32"/>
        </w:rPr>
        <w:t>名词解释</w:t>
      </w:r>
    </w:p>
    <w:p>
      <w:pPr>
        <w:widowControl/>
        <w:spacing w:before="100" w:beforeAutospacing="1" w:after="100" w:afterAutospacing="1"/>
        <w:jc w:val="left"/>
        <w:rPr>
          <w:rFonts w:hint="eastAsia" w:ascii="黑体" w:hAnsi="黑体" w:eastAsia="黑体" w:cs="宋体"/>
          <w:kern w:val="0"/>
          <w:sz w:val="36"/>
          <w:szCs w:val="36"/>
        </w:rPr>
      </w:pPr>
      <w:r>
        <w:rPr>
          <w:rFonts w:hint="eastAsia" w:ascii="黑体" w:hAnsi="黑体" w:eastAsia="黑体" w:cs="宋体"/>
          <w:kern w:val="0"/>
          <w:sz w:val="36"/>
          <w:szCs w:val="36"/>
        </w:rPr>
        <w:t>第一部分</w:t>
      </w:r>
      <w:r>
        <w:rPr>
          <w:rFonts w:hint="eastAsia" w:ascii="黑体" w:hAnsi="黑体" w:eastAsia="黑体" w:cs="宋体"/>
          <w:kern w:val="0"/>
          <w:sz w:val="36"/>
          <w:szCs w:val="36"/>
          <w:lang w:val="en-US" w:eastAsia="zh-CN"/>
        </w:rPr>
        <w:t xml:space="preserve"> 2022年</w:t>
      </w:r>
      <w:r>
        <w:rPr>
          <w:rFonts w:hint="eastAsia" w:ascii="黑体" w:hAnsi="黑体" w:eastAsia="黑体" w:cs="宋体"/>
          <w:kern w:val="0"/>
          <w:sz w:val="36"/>
          <w:szCs w:val="36"/>
        </w:rPr>
        <w:t>调兵山市</w:t>
      </w:r>
      <w:r>
        <w:rPr>
          <w:rFonts w:hint="eastAsia" w:ascii="黑体" w:hAnsi="黑体" w:eastAsia="黑体" w:cs="宋体"/>
          <w:kern w:val="0"/>
          <w:sz w:val="36"/>
          <w:szCs w:val="36"/>
          <w:lang w:eastAsia="zh-CN"/>
        </w:rPr>
        <w:t>住房和城乡建设局</w:t>
      </w:r>
      <w:r>
        <w:rPr>
          <w:rFonts w:hint="eastAsia" w:ascii="黑体" w:hAnsi="黑体" w:eastAsia="黑体" w:cs="宋体"/>
          <w:kern w:val="0"/>
          <w:sz w:val="36"/>
          <w:szCs w:val="36"/>
        </w:rPr>
        <w:t>概况</w:t>
      </w:r>
    </w:p>
    <w:p>
      <w:pPr>
        <w:pStyle w:val="10"/>
        <w:widowControl/>
        <w:numPr>
          <w:ilvl w:val="0"/>
          <w:numId w:val="1"/>
        </w:numPr>
        <w:spacing w:before="100" w:beforeAutospacing="1" w:after="100" w:afterAutospacing="1"/>
        <w:ind w:firstLineChars="0"/>
        <w:jc w:val="left"/>
        <w:rPr>
          <w:rFonts w:ascii="仿宋" w:hAnsi="仿宋" w:eastAsia="仿宋" w:cs="宋体"/>
          <w:kern w:val="0"/>
          <w:sz w:val="32"/>
          <w:szCs w:val="32"/>
        </w:rPr>
      </w:pPr>
      <w:r>
        <w:rPr>
          <w:rFonts w:hint="eastAsia" w:ascii="黑体" w:hAnsi="黑体" w:eastAsia="黑体" w:cs="宋体"/>
          <w:kern w:val="0"/>
          <w:sz w:val="32"/>
          <w:szCs w:val="32"/>
        </w:rPr>
        <w:t>主要职责</w:t>
      </w:r>
    </w:p>
    <w:p>
      <w:pPr>
        <w:autoSpaceDE w:val="0"/>
        <w:autoSpaceDN w:val="0"/>
        <w:adjustRightInd w:val="0"/>
        <w:spacing w:line="600" w:lineRule="exact"/>
        <w:ind w:firstLine="640" w:firstLineChars="200"/>
        <w:rPr>
          <w:rFonts w:hint="eastAsia" w:ascii="仿宋_GB2312" w:eastAsia="仿宋_GB2312" w:cs="仿宋"/>
          <w:kern w:val="0"/>
          <w:sz w:val="32"/>
          <w:szCs w:val="32"/>
          <w:lang w:val="zh-CN"/>
        </w:rPr>
      </w:pPr>
      <w:r>
        <w:rPr>
          <w:rFonts w:hint="eastAsia" w:ascii="仿宋" w:hAnsi="仿宋" w:eastAsia="仿宋" w:cs="宋体"/>
          <w:kern w:val="0"/>
          <w:sz w:val="32"/>
          <w:szCs w:val="32"/>
          <w:lang w:val="en-US" w:eastAsia="zh-CN"/>
        </w:rPr>
        <w:t xml:space="preserve">   </w:t>
      </w:r>
      <w:r>
        <w:rPr>
          <w:rFonts w:hint="eastAsia" w:ascii="仿宋_GB2312" w:eastAsia="仿宋_GB2312" w:cs="仿宋"/>
          <w:kern w:val="0"/>
          <w:sz w:val="32"/>
          <w:szCs w:val="32"/>
          <w:lang w:val="zh-CN"/>
        </w:rPr>
        <w:t>（一）承担保障全市城镇低收入家庭住房的责任，拟订住房保障相关政策并指导实施，拟订保障性住房规划及政策，参与保障性住房资金安排有关工作，编制住房保障发展规划和年度计划并监督实施。</w:t>
      </w:r>
    </w:p>
    <w:p>
      <w:pPr>
        <w:autoSpaceDE w:val="0"/>
        <w:autoSpaceDN w:val="0"/>
        <w:adjustRightInd w:val="0"/>
        <w:spacing w:line="600" w:lineRule="exact"/>
        <w:ind w:firstLine="640" w:firstLineChars="200"/>
        <w:rPr>
          <w:rFonts w:hint="eastAsia" w:ascii="仿宋_GB2312" w:eastAsia="仿宋_GB2312" w:cs="仿宋"/>
          <w:kern w:val="0"/>
          <w:sz w:val="32"/>
          <w:szCs w:val="32"/>
          <w:lang w:val="zh-CN"/>
        </w:rPr>
      </w:pPr>
      <w:r>
        <w:rPr>
          <w:rFonts w:hint="eastAsia" w:ascii="仿宋_GB2312" w:eastAsia="仿宋_GB2312" w:cs="仿宋"/>
          <w:kern w:val="0"/>
          <w:sz w:val="32"/>
          <w:szCs w:val="32"/>
          <w:lang w:val="zh-CN"/>
        </w:rPr>
        <w:t>（二）承担推进住房制度改革的责任，拟订住房政策，指导住房建设和住房制度改革，拟订全市住房建设规划并指导实施，研究提出住房和城乡建设重大问题的政策建议。</w:t>
      </w:r>
    </w:p>
    <w:p>
      <w:pPr>
        <w:autoSpaceDE w:val="0"/>
        <w:autoSpaceDN w:val="0"/>
        <w:adjustRightInd w:val="0"/>
        <w:spacing w:line="600" w:lineRule="exact"/>
        <w:ind w:firstLine="640" w:firstLineChars="200"/>
        <w:rPr>
          <w:rFonts w:hint="eastAsia" w:ascii="仿宋_GB2312" w:eastAsia="仿宋_GB2312" w:cs="仿宋"/>
          <w:kern w:val="0"/>
          <w:sz w:val="32"/>
          <w:szCs w:val="32"/>
          <w:lang w:val="zh-CN"/>
        </w:rPr>
      </w:pPr>
      <w:r>
        <w:rPr>
          <w:rFonts w:hint="eastAsia" w:ascii="仿宋_GB2312" w:eastAsia="仿宋_GB2312" w:cs="仿宋"/>
          <w:kern w:val="0"/>
          <w:sz w:val="32"/>
          <w:szCs w:val="32"/>
          <w:lang w:val="zh-CN"/>
        </w:rPr>
        <w:t xml:space="preserve">（三）承担建立科学规范的工程建设标准体系的责任，组织拟订市工程建设技术标准和定额，组织拟订建设项目可行性研究的经济评价方法、经济参数、建设投资估算指标、建设工期定额、建筑专业定额、建设用地指标和工程造价的管理制度，指导、监督各类工程建设标准定额和公共服务设施（不含通信设施）建设标准的实施和工程造价计价工作，组织发布工程造价信息。 </w:t>
      </w:r>
    </w:p>
    <w:p>
      <w:pPr>
        <w:autoSpaceDE w:val="0"/>
        <w:autoSpaceDN w:val="0"/>
        <w:adjustRightInd w:val="0"/>
        <w:spacing w:line="600" w:lineRule="exact"/>
        <w:ind w:firstLine="640" w:firstLineChars="200"/>
        <w:rPr>
          <w:rFonts w:hint="eastAsia" w:ascii="仿宋_GB2312" w:eastAsia="仿宋_GB2312" w:cs="仿宋"/>
          <w:kern w:val="0"/>
          <w:sz w:val="32"/>
          <w:szCs w:val="32"/>
          <w:lang w:val="zh-CN"/>
        </w:rPr>
      </w:pPr>
      <w:r>
        <w:rPr>
          <w:rFonts w:hint="eastAsia" w:ascii="仿宋_GB2312" w:eastAsia="仿宋_GB2312" w:cs="仿宋"/>
          <w:kern w:val="0"/>
          <w:sz w:val="32"/>
          <w:szCs w:val="32"/>
          <w:lang w:val="zh-CN"/>
        </w:rPr>
        <w:t>（四）承担规范房地产市场秩序、监督管理房地产市场的责任，会同有关部门组织拟订房地产市场监管政策并监督执行，提出房地产业的行业发展规划和产业政策，拟订房地产开发、房屋租赁、房地产估价与经纪管理、物业管理、房屋征收拆迁的规章制度并监督执行。</w:t>
      </w:r>
    </w:p>
    <w:p>
      <w:pPr>
        <w:autoSpaceDE w:val="0"/>
        <w:autoSpaceDN w:val="0"/>
        <w:adjustRightInd w:val="0"/>
        <w:spacing w:line="600" w:lineRule="exact"/>
        <w:ind w:firstLine="640" w:firstLineChars="200"/>
        <w:rPr>
          <w:rFonts w:hint="eastAsia" w:ascii="仿宋_GB2312" w:eastAsia="仿宋_GB2312" w:cs="仿宋"/>
          <w:kern w:val="0"/>
          <w:sz w:val="32"/>
          <w:szCs w:val="32"/>
          <w:lang w:val="zh-CN"/>
        </w:rPr>
      </w:pPr>
      <w:r>
        <w:rPr>
          <w:rFonts w:hint="eastAsia" w:ascii="仿宋_GB2312" w:eastAsia="仿宋_GB2312" w:cs="仿宋"/>
          <w:kern w:val="0"/>
          <w:sz w:val="32"/>
          <w:szCs w:val="32"/>
          <w:lang w:val="zh-CN"/>
        </w:rPr>
        <w:t>（五）指导全市建筑活动并规范建筑市场，指导、监督建筑市场准入与清出、房屋和市政工程项目招标投标、工程监理工作，负责城市基础设施建设项目的监督检查，拟订勘察设计、工程建设、工程质量监督和检测、建设监理、工程造价及相关社会中介组织管理的有关政策并监督实施，组织制定全市房屋和市政工程招投标监督管理政策、规章制度并监督实施，组织市房屋和市政工程相关项目招投标活动的监督执法。</w:t>
      </w:r>
    </w:p>
    <w:p>
      <w:pPr>
        <w:autoSpaceDE w:val="0"/>
        <w:autoSpaceDN w:val="0"/>
        <w:adjustRightInd w:val="0"/>
        <w:spacing w:line="600" w:lineRule="exact"/>
        <w:ind w:firstLine="640" w:firstLineChars="200"/>
        <w:rPr>
          <w:rFonts w:hint="eastAsia" w:ascii="仿宋_GB2312" w:eastAsia="仿宋_GB2312" w:cs="仿宋"/>
          <w:kern w:val="0"/>
          <w:sz w:val="32"/>
          <w:szCs w:val="32"/>
          <w:lang w:val="zh-CN"/>
        </w:rPr>
      </w:pPr>
      <w:r>
        <w:rPr>
          <w:rFonts w:hint="eastAsia" w:ascii="仿宋_GB2312" w:eastAsia="仿宋_GB2312" w:cs="仿宋"/>
          <w:kern w:val="0"/>
          <w:sz w:val="32"/>
          <w:szCs w:val="32"/>
          <w:lang w:val="zh-CN"/>
        </w:rPr>
        <w:t>（六）指导全市城市建设。指导城市市政公用设施建设、安全和应急管理，指导城市规划区的绿化工作，会同文物主管部门负责历史文化名城（镇、村）的保护和监督管理工作。</w:t>
      </w:r>
    </w:p>
    <w:p>
      <w:pPr>
        <w:autoSpaceDE w:val="0"/>
        <w:autoSpaceDN w:val="0"/>
        <w:adjustRightInd w:val="0"/>
        <w:spacing w:line="600" w:lineRule="exact"/>
        <w:ind w:firstLine="640" w:firstLineChars="200"/>
        <w:rPr>
          <w:rFonts w:hint="eastAsia" w:ascii="仿宋_GB2312" w:eastAsia="仿宋_GB2312" w:cs="仿宋"/>
          <w:kern w:val="0"/>
          <w:sz w:val="32"/>
          <w:szCs w:val="32"/>
          <w:lang w:val="zh-CN"/>
        </w:rPr>
      </w:pPr>
      <w:r>
        <w:rPr>
          <w:rFonts w:hint="eastAsia" w:ascii="仿宋_GB2312" w:eastAsia="仿宋_GB2312" w:cs="仿宋"/>
          <w:kern w:val="0"/>
          <w:sz w:val="32"/>
          <w:szCs w:val="32"/>
          <w:lang w:val="zh-CN"/>
        </w:rPr>
        <w:t>（七）拟订小城镇和村庄建设政策并指导实施，指导村镇建设、农村住房建设和安全及危房改造，指导小城镇和村庄人居生态环境的改善工作，指导全市重点镇建设。配合有关部门推进特色小镇和小城镇建设工作。</w:t>
      </w:r>
    </w:p>
    <w:p>
      <w:pPr>
        <w:autoSpaceDE w:val="0"/>
        <w:autoSpaceDN w:val="0"/>
        <w:adjustRightInd w:val="0"/>
        <w:spacing w:line="620" w:lineRule="exact"/>
        <w:ind w:firstLine="640" w:firstLineChars="200"/>
        <w:rPr>
          <w:rFonts w:hint="eastAsia" w:ascii="仿宋_GB2312" w:eastAsia="仿宋_GB2312" w:cs="仿宋"/>
          <w:kern w:val="0"/>
          <w:sz w:val="32"/>
          <w:szCs w:val="32"/>
          <w:lang w:val="zh-CN"/>
        </w:rPr>
      </w:pPr>
      <w:r>
        <w:rPr>
          <w:rFonts w:hint="eastAsia" w:ascii="仿宋_GB2312" w:eastAsia="仿宋_GB2312" w:cs="仿宋"/>
          <w:kern w:val="0"/>
          <w:sz w:val="32"/>
          <w:szCs w:val="32"/>
          <w:lang w:val="zh-CN"/>
        </w:rPr>
        <w:t>（八）指导和监督检查全市各类房屋及其附属设施、城市市政设施建设工程的抗震设防。</w:t>
      </w:r>
    </w:p>
    <w:p>
      <w:pPr>
        <w:autoSpaceDE w:val="0"/>
        <w:autoSpaceDN w:val="0"/>
        <w:adjustRightInd w:val="0"/>
        <w:spacing w:line="620" w:lineRule="exact"/>
        <w:ind w:firstLine="640" w:firstLineChars="200"/>
        <w:rPr>
          <w:rFonts w:hint="eastAsia" w:ascii="仿宋_GB2312" w:eastAsia="仿宋_GB2312" w:cs="仿宋"/>
          <w:kern w:val="0"/>
          <w:sz w:val="32"/>
          <w:szCs w:val="32"/>
          <w:lang w:val="zh-CN"/>
        </w:rPr>
      </w:pPr>
      <w:r>
        <w:rPr>
          <w:rFonts w:hint="eastAsia" w:ascii="仿宋_GB2312" w:eastAsia="仿宋_GB2312" w:cs="仿宋"/>
          <w:kern w:val="0"/>
          <w:sz w:val="32"/>
          <w:szCs w:val="32"/>
          <w:lang w:val="zh-CN"/>
        </w:rPr>
        <w:t>（九）承担建筑工程质量安全监管的责任，拟订建筑工程质量、建筑安全生产和竣工验收备案的政策、规章制度并监督执行，组织或参与建筑工程重大质量、安全事故的调查处理。</w:t>
      </w:r>
    </w:p>
    <w:p>
      <w:pPr>
        <w:autoSpaceDE w:val="0"/>
        <w:autoSpaceDN w:val="0"/>
        <w:adjustRightInd w:val="0"/>
        <w:spacing w:line="620" w:lineRule="exact"/>
        <w:ind w:firstLine="640" w:firstLineChars="200"/>
        <w:rPr>
          <w:rFonts w:hint="eastAsia" w:ascii="仿宋_GB2312" w:eastAsia="仿宋_GB2312" w:cs="仿宋"/>
          <w:kern w:val="0"/>
          <w:sz w:val="32"/>
          <w:szCs w:val="32"/>
          <w:lang w:val="zh-CN"/>
        </w:rPr>
      </w:pPr>
      <w:r>
        <w:rPr>
          <w:rFonts w:hint="eastAsia" w:ascii="仿宋_GB2312" w:eastAsia="仿宋_GB2312" w:cs="仿宋"/>
          <w:kern w:val="0"/>
          <w:sz w:val="32"/>
          <w:szCs w:val="32"/>
          <w:lang w:val="zh-CN"/>
        </w:rPr>
        <w:t>（十）承担推进建筑节能、城镇减排的责任，拟订全市住房和城乡建设科技发展规划和技术政策，组织重大科技项目攻关和成果推广，指导重大技术引进和创新工作，会同有关部门拟订建筑节能的政策、规划并监督实施，组织实施重大建筑节能项目。</w:t>
      </w:r>
    </w:p>
    <w:p>
      <w:pPr>
        <w:autoSpaceDE w:val="0"/>
        <w:autoSpaceDN w:val="0"/>
        <w:adjustRightInd w:val="0"/>
        <w:spacing w:line="620" w:lineRule="exact"/>
        <w:ind w:firstLine="640" w:firstLineChars="200"/>
        <w:rPr>
          <w:rFonts w:hint="eastAsia" w:ascii="仿宋_GB2312" w:eastAsia="仿宋_GB2312" w:cs="仿宋"/>
          <w:kern w:val="0"/>
          <w:sz w:val="32"/>
          <w:szCs w:val="32"/>
          <w:lang w:val="zh-CN"/>
        </w:rPr>
      </w:pPr>
      <w:r>
        <w:rPr>
          <w:rFonts w:hint="eastAsia" w:ascii="仿宋_GB2312" w:eastAsia="仿宋_GB2312" w:cs="仿宋"/>
          <w:kern w:val="0"/>
          <w:sz w:val="32"/>
          <w:szCs w:val="32"/>
          <w:lang w:val="zh-CN"/>
        </w:rPr>
        <w:t>（十一）负责拟订城市管理执法的政策和制度措施，指导全市城市管理执法工作，开展城市管理执法行为监督，组织查处住房城乡建设领域重大案件。</w:t>
      </w:r>
    </w:p>
    <w:p>
      <w:pPr>
        <w:autoSpaceDE w:val="0"/>
        <w:autoSpaceDN w:val="0"/>
        <w:adjustRightInd w:val="0"/>
        <w:spacing w:line="620" w:lineRule="exact"/>
        <w:ind w:firstLine="640" w:firstLineChars="200"/>
        <w:rPr>
          <w:rFonts w:hint="eastAsia" w:ascii="仿宋_GB2312" w:eastAsia="仿宋_GB2312" w:cs="仿宋"/>
          <w:kern w:val="0"/>
          <w:sz w:val="32"/>
          <w:szCs w:val="32"/>
          <w:lang w:val="zh-CN"/>
        </w:rPr>
      </w:pPr>
      <w:r>
        <w:rPr>
          <w:rFonts w:hint="eastAsia" w:ascii="仿宋_GB2312" w:eastAsia="仿宋_GB2312" w:cs="仿宋"/>
          <w:kern w:val="0"/>
          <w:sz w:val="32"/>
          <w:szCs w:val="32"/>
          <w:lang w:val="zh-CN"/>
        </w:rPr>
        <w:t>（十二）贯彻执行城市管理综合执法、国有土地上房屋征收与补偿和城市露天市场、户外广告牌匾管理方面的法律法规。研究制定全市市容和环境卫生管理标准与总体方案，组织开展市容环境综合整治；负责对临时占用城市道路、临街建筑物外部装饰装修及各类建筑物外部拆改的审批；负责户外广告、牌匾等标志性设施设立的核准；组织实施市政府决定的国有土地上房屋征收与补偿工作，并对全市国有土地上房屋征收与补偿工作实施监督管理；依法对城市内露天商品流通市场进行日常管理；整顿无主办单位市场，依法对非法拆迁和侵占集贸市场行为进行处理。</w:t>
      </w:r>
    </w:p>
    <w:p>
      <w:pPr>
        <w:autoSpaceDE w:val="0"/>
        <w:autoSpaceDN w:val="0"/>
        <w:adjustRightInd w:val="0"/>
        <w:spacing w:line="620" w:lineRule="exact"/>
        <w:ind w:firstLine="640" w:firstLineChars="200"/>
        <w:rPr>
          <w:rFonts w:hint="eastAsia" w:ascii="仿宋_GB2312" w:eastAsia="仿宋_GB2312" w:cs="仿宋"/>
          <w:kern w:val="0"/>
          <w:sz w:val="32"/>
          <w:szCs w:val="32"/>
        </w:rPr>
      </w:pPr>
      <w:r>
        <w:rPr>
          <w:rFonts w:hint="eastAsia" w:ascii="仿宋_GB2312" w:eastAsia="仿宋_GB2312" w:cs="仿宋"/>
          <w:kern w:val="0"/>
          <w:sz w:val="32"/>
          <w:szCs w:val="32"/>
          <w:lang w:val="zh-CN"/>
        </w:rPr>
        <w:t>（十三）贯彻执行国家、省、市关于开展房屋征收管理工作的规定，并组织实施。组织制定房屋征收管理工作的中长期规划和年度计划。对我市行政区域内的城市房屋拆迁工作实施监督管理。负责房屋拆迁许可证审批、延期拆迁审批、拆迁委托合同备案管理、暂停办理有关手续通知书发放、延长暂停期限审批、拆迁裁决、受理强制拆迁申请、建设项目转让管理、拆迁补偿安置资金使用监督、拆迁产权不明确房屋补偿安置方案审核、对拆迁违法行为查处以及接受委托拆迁单位资格认定等。</w:t>
      </w:r>
    </w:p>
    <w:p>
      <w:pPr>
        <w:autoSpaceDE w:val="0"/>
        <w:autoSpaceDN w:val="0"/>
        <w:adjustRightInd w:val="0"/>
        <w:spacing w:line="620" w:lineRule="exact"/>
        <w:ind w:firstLine="640" w:firstLineChars="200"/>
        <w:rPr>
          <w:rFonts w:hint="eastAsia" w:ascii="仿宋_GB2312" w:eastAsia="仿宋_GB2312" w:cs="仿宋"/>
          <w:kern w:val="0"/>
          <w:sz w:val="32"/>
          <w:szCs w:val="32"/>
          <w:lang w:val="zh-CN"/>
        </w:rPr>
      </w:pPr>
      <w:r>
        <w:rPr>
          <w:rFonts w:hint="eastAsia" w:ascii="仿宋_GB2312" w:eastAsia="仿宋_GB2312" w:cs="仿宋"/>
          <w:kern w:val="0"/>
          <w:sz w:val="32"/>
          <w:szCs w:val="32"/>
          <w:lang w:val="zh-CN"/>
        </w:rPr>
        <w:t>（十四）负责全市住房和城乡建设行业执业资格和科技人才队伍建设的管理工作，管理全市住房和城乡建设行业的对外经济技术合作和外事工作，指导企业开拓国外建筑市场，发展国际工程承包和建筑劳务合作，配合有关部门做好招商引资工作，参与重大招商引资活动，负责招商引资项目的跟踪落实和相关指导、协调、服务工作。</w:t>
      </w:r>
    </w:p>
    <w:p>
      <w:pPr>
        <w:autoSpaceDE w:val="0"/>
        <w:autoSpaceDN w:val="0"/>
        <w:adjustRightInd w:val="0"/>
        <w:spacing w:line="620" w:lineRule="exact"/>
        <w:ind w:firstLine="640" w:firstLineChars="200"/>
        <w:rPr>
          <w:rFonts w:hint="eastAsia" w:ascii="仿宋_GB2312" w:eastAsia="仿宋_GB2312" w:cs="仿宋"/>
          <w:kern w:val="0"/>
          <w:sz w:val="32"/>
          <w:szCs w:val="32"/>
          <w:lang w:val="zh-CN"/>
        </w:rPr>
      </w:pPr>
      <w:r>
        <w:rPr>
          <w:rFonts w:hint="eastAsia" w:ascii="仿宋_GB2312" w:eastAsia="仿宋_GB2312" w:cs="仿宋"/>
          <w:kern w:val="0"/>
          <w:sz w:val="32"/>
          <w:szCs w:val="32"/>
          <w:lang w:val="zh-CN"/>
        </w:rPr>
        <w:t>（十五）制定并组织落实防空袭预案，建立辅助决策系统，指导、监督有关部门和单位落实重要经济目标防护措施；收集、研究、汇总人民防空信息，为政府组织开展人民防空工作提供信息保障。负责城市地下防护空间的规划、建设与管理，制定并组织实施人民防空工程建设规划、计划，开发利用人民防空资源。指导监督人防工程规划、建设过程中的安全生产工作，负责指导监督、检查人防工程平战转换、开发利用及经营管理中的安全生产和消防安全工作。制定并组织实施人民防空警报、通信建设规划、计划，组织协调通信保障工作。</w:t>
      </w:r>
    </w:p>
    <w:p>
      <w:pPr>
        <w:autoSpaceDE w:val="0"/>
        <w:autoSpaceDN w:val="0"/>
        <w:adjustRightInd w:val="0"/>
        <w:spacing w:line="620" w:lineRule="exact"/>
        <w:ind w:firstLine="640" w:firstLineChars="200"/>
        <w:rPr>
          <w:rFonts w:hint="eastAsia" w:ascii="仿宋_GB2312" w:eastAsia="仿宋_GB2312" w:cs="仿宋"/>
          <w:kern w:val="0"/>
          <w:sz w:val="32"/>
          <w:szCs w:val="32"/>
          <w:lang w:val="zh-CN"/>
        </w:rPr>
      </w:pPr>
      <w:r>
        <w:rPr>
          <w:rFonts w:hint="eastAsia" w:ascii="仿宋_GB2312" w:eastAsia="仿宋_GB2312" w:cs="仿宋"/>
          <w:kern w:val="0"/>
          <w:sz w:val="32"/>
          <w:szCs w:val="32"/>
          <w:lang w:val="zh-CN"/>
        </w:rPr>
        <w:t>（十六）组织开展人民防空宣传教育工作，指导、监督群众防空组织的组建、训练和演习工作；组织人民防空科学技术研究、成果应用和交流；负责管理人民防空经费、物资和国有资产；承办市政府赋予的应对突发公共事件的有关保障任务。</w:t>
      </w:r>
    </w:p>
    <w:p>
      <w:pPr>
        <w:autoSpaceDE w:val="0"/>
        <w:autoSpaceDN w:val="0"/>
        <w:adjustRightInd w:val="0"/>
        <w:spacing w:line="620" w:lineRule="exact"/>
        <w:ind w:firstLine="640" w:firstLineChars="200"/>
        <w:rPr>
          <w:rFonts w:hint="eastAsia" w:ascii="仿宋_GB2312" w:eastAsia="仿宋_GB2312" w:cs="仿宋"/>
          <w:kern w:val="0"/>
          <w:sz w:val="32"/>
          <w:szCs w:val="32"/>
          <w:lang w:val="zh-CN"/>
        </w:rPr>
      </w:pPr>
      <w:r>
        <w:rPr>
          <w:rFonts w:hint="eastAsia" w:ascii="仿宋_GB2312" w:eastAsia="仿宋_GB2312" w:cs="仿宋"/>
          <w:kern w:val="0"/>
          <w:sz w:val="32"/>
          <w:szCs w:val="32"/>
          <w:lang w:val="zh-CN"/>
        </w:rPr>
        <w:t>（十七）负责推进全市综合交通运输体系建设，统筹全市公路行业发展，建立健全与全市综合交通运输体系相适应的制度机制，优化交通运输主要通道和重要枢纽节点布局，促进各种交通运输方式融合。</w:t>
      </w:r>
    </w:p>
    <w:p>
      <w:pPr>
        <w:autoSpaceDE w:val="0"/>
        <w:autoSpaceDN w:val="0"/>
        <w:adjustRightInd w:val="0"/>
        <w:spacing w:line="620" w:lineRule="exact"/>
        <w:ind w:firstLine="640" w:firstLineChars="200"/>
        <w:rPr>
          <w:rFonts w:hint="eastAsia" w:ascii="仿宋_GB2312" w:eastAsia="仿宋_GB2312" w:cs="仿宋"/>
          <w:kern w:val="0"/>
          <w:sz w:val="32"/>
          <w:szCs w:val="32"/>
          <w:lang w:val="zh-CN"/>
        </w:rPr>
      </w:pPr>
      <w:r>
        <w:rPr>
          <w:rFonts w:hint="eastAsia" w:ascii="仿宋_GB2312" w:eastAsia="仿宋_GB2312" w:cs="仿宋"/>
          <w:kern w:val="0"/>
          <w:sz w:val="32"/>
          <w:szCs w:val="32"/>
          <w:lang w:val="zh-CN"/>
        </w:rPr>
        <w:t>（十八）贯彻执行国家有关交通运输行业的发展战略、方针政策和法律法规，拟订全市公路行业政策和标准并监督实施，组织起草调兵山市交通运输规范性文件，组织编制全市综合交通运输体系规划，拟订并组织实施全市公路行业发展规划，指导综合交通运输枢纽规划与管理，按规定组织协调国家、省、市、县重点物资运输和紧急客货运输，指导全市交通运输行业体制改革工作。</w:t>
      </w:r>
    </w:p>
    <w:p>
      <w:pPr>
        <w:autoSpaceDE w:val="0"/>
        <w:autoSpaceDN w:val="0"/>
        <w:adjustRightInd w:val="0"/>
        <w:spacing w:line="600" w:lineRule="exact"/>
        <w:ind w:firstLine="640" w:firstLineChars="200"/>
        <w:rPr>
          <w:rFonts w:hint="eastAsia" w:ascii="仿宋_GB2312" w:eastAsia="仿宋_GB2312" w:cs="仿宋"/>
          <w:kern w:val="0"/>
          <w:sz w:val="32"/>
          <w:szCs w:val="32"/>
          <w:lang w:val="zh-CN"/>
        </w:rPr>
      </w:pPr>
      <w:r>
        <w:rPr>
          <w:rFonts w:hint="eastAsia" w:ascii="仿宋_GB2312" w:eastAsia="仿宋_GB2312" w:cs="仿宋"/>
          <w:kern w:val="0"/>
          <w:sz w:val="32"/>
          <w:szCs w:val="32"/>
          <w:lang w:val="zh-CN"/>
        </w:rPr>
        <w:t>（十九）承担全市公路建设市场监管责任，组织编制交通运输固定资产投资计划，协调推进调兵山市高速公路工程、重点铁路工程建设，组织实施其它重点交通工程建设，负责有关交通工程造价的监督管理工作，负责全市公路交通运输基础设施建设与维护的行业管理。</w:t>
      </w:r>
    </w:p>
    <w:p>
      <w:pPr>
        <w:autoSpaceDE w:val="0"/>
        <w:autoSpaceDN w:val="0"/>
        <w:adjustRightInd w:val="0"/>
        <w:spacing w:line="600" w:lineRule="exact"/>
        <w:ind w:firstLine="640" w:firstLineChars="200"/>
        <w:rPr>
          <w:rFonts w:hint="eastAsia" w:ascii="仿宋_GB2312" w:eastAsia="仿宋_GB2312" w:cs="仿宋"/>
          <w:kern w:val="0"/>
          <w:sz w:val="32"/>
          <w:szCs w:val="32"/>
          <w:lang w:val="zh-CN"/>
        </w:rPr>
      </w:pPr>
      <w:r>
        <w:rPr>
          <w:rFonts w:hint="eastAsia" w:ascii="仿宋_GB2312" w:eastAsia="仿宋_GB2312" w:cs="仿宋"/>
          <w:kern w:val="0"/>
          <w:sz w:val="32"/>
          <w:szCs w:val="32"/>
          <w:lang w:val="zh-CN"/>
        </w:rPr>
        <w:t>（二十）承担全市道路运输管理及市场监管责任，协调铁路运输，指导全市路政、运政、交通工程质量监督等行政执法和队伍建设工作，负责全市水上设施监督管理相关工作。</w:t>
      </w:r>
    </w:p>
    <w:p>
      <w:pPr>
        <w:autoSpaceDE w:val="0"/>
        <w:autoSpaceDN w:val="0"/>
        <w:adjustRightInd w:val="0"/>
        <w:spacing w:line="600" w:lineRule="exact"/>
        <w:ind w:firstLine="640" w:firstLineChars="200"/>
        <w:rPr>
          <w:rFonts w:hint="eastAsia" w:ascii="仿宋_GB2312" w:eastAsia="仿宋_GB2312" w:cs="仿宋"/>
          <w:kern w:val="0"/>
          <w:sz w:val="32"/>
          <w:szCs w:val="32"/>
          <w:lang w:val="zh-CN"/>
        </w:rPr>
      </w:pPr>
      <w:r>
        <w:rPr>
          <w:rFonts w:hint="eastAsia" w:ascii="仿宋_GB2312" w:eastAsia="仿宋_GB2312" w:cs="仿宋"/>
          <w:kern w:val="0"/>
          <w:sz w:val="32"/>
          <w:szCs w:val="32"/>
          <w:lang w:val="zh-CN"/>
        </w:rPr>
        <w:t>（二十一）负责指导城市公共交通运营。</w:t>
      </w:r>
    </w:p>
    <w:p>
      <w:pPr>
        <w:autoSpaceDE w:val="0"/>
        <w:autoSpaceDN w:val="0"/>
        <w:adjustRightInd w:val="0"/>
        <w:spacing w:line="600" w:lineRule="exact"/>
        <w:ind w:firstLine="640" w:firstLineChars="200"/>
        <w:rPr>
          <w:rFonts w:hint="eastAsia" w:ascii="仿宋_GB2312" w:eastAsia="仿宋_GB2312" w:cs="仿宋"/>
          <w:kern w:val="0"/>
          <w:sz w:val="32"/>
          <w:szCs w:val="32"/>
          <w:lang w:val="zh-CN"/>
        </w:rPr>
      </w:pPr>
      <w:r>
        <w:rPr>
          <w:rFonts w:hint="eastAsia" w:ascii="仿宋_GB2312" w:eastAsia="仿宋_GB2312" w:cs="仿宋"/>
          <w:kern w:val="0"/>
          <w:sz w:val="32"/>
          <w:szCs w:val="32"/>
          <w:lang w:val="zh-CN"/>
        </w:rPr>
        <w:t>（二十二）提出交通运输固定资产投资规模和方向、财政性资金安排意见和有关财政、土地、价格等政策建议。</w:t>
      </w:r>
    </w:p>
    <w:p>
      <w:pPr>
        <w:autoSpaceDE w:val="0"/>
        <w:autoSpaceDN w:val="0"/>
        <w:adjustRightInd w:val="0"/>
        <w:spacing w:line="600" w:lineRule="exact"/>
        <w:ind w:firstLine="640" w:firstLineChars="200"/>
        <w:rPr>
          <w:rFonts w:hint="eastAsia" w:ascii="仿宋_GB2312" w:eastAsia="仿宋_GB2312" w:cs="仿宋"/>
          <w:kern w:val="0"/>
          <w:sz w:val="32"/>
          <w:szCs w:val="32"/>
          <w:lang w:val="zh-CN"/>
        </w:rPr>
      </w:pPr>
      <w:r>
        <w:rPr>
          <w:rFonts w:hint="eastAsia" w:ascii="仿宋_GB2312" w:eastAsia="仿宋_GB2312" w:cs="仿宋"/>
          <w:kern w:val="0"/>
          <w:sz w:val="32"/>
          <w:szCs w:val="32"/>
          <w:lang w:val="zh-CN"/>
        </w:rPr>
        <w:t>（二十三）负责全市公路路网运行监测协调工作，指导全市公路行业安全生产和应急管理工作。</w:t>
      </w:r>
    </w:p>
    <w:p>
      <w:pPr>
        <w:autoSpaceDE w:val="0"/>
        <w:autoSpaceDN w:val="0"/>
        <w:adjustRightInd w:val="0"/>
        <w:spacing w:line="600" w:lineRule="exact"/>
        <w:ind w:firstLine="640" w:firstLineChars="200"/>
        <w:rPr>
          <w:rFonts w:hint="eastAsia" w:ascii="仿宋_GB2312" w:eastAsia="仿宋_GB2312" w:cs="仿宋"/>
          <w:kern w:val="0"/>
          <w:sz w:val="32"/>
          <w:szCs w:val="32"/>
          <w:lang w:val="zh-CN"/>
        </w:rPr>
      </w:pPr>
      <w:r>
        <w:rPr>
          <w:rFonts w:hint="eastAsia" w:ascii="仿宋_GB2312" w:eastAsia="仿宋_GB2312" w:cs="仿宋"/>
          <w:kern w:val="0"/>
          <w:sz w:val="32"/>
          <w:szCs w:val="32"/>
          <w:lang w:val="zh-CN"/>
        </w:rPr>
        <w:t>（二十四）组织重大交通运输科技项目研发、引进、推广及应用，指导全市交通运输行业环境保护、节能减排和信息化建设工作。</w:t>
      </w:r>
    </w:p>
    <w:p>
      <w:pPr>
        <w:autoSpaceDE w:val="0"/>
        <w:autoSpaceDN w:val="0"/>
        <w:adjustRightInd w:val="0"/>
        <w:spacing w:line="600" w:lineRule="exact"/>
        <w:ind w:firstLine="640" w:firstLineChars="200"/>
        <w:rPr>
          <w:rFonts w:hint="eastAsia" w:ascii="仿宋_GB2312" w:eastAsia="仿宋_GB2312" w:cs="仿宋"/>
          <w:kern w:val="0"/>
          <w:sz w:val="32"/>
          <w:szCs w:val="32"/>
          <w:lang w:val="zh-CN"/>
        </w:rPr>
      </w:pPr>
      <w:r>
        <w:rPr>
          <w:rFonts w:hint="eastAsia" w:ascii="仿宋_GB2312" w:eastAsia="仿宋_GB2312" w:cs="仿宋"/>
          <w:kern w:val="0"/>
          <w:sz w:val="32"/>
          <w:szCs w:val="32"/>
          <w:lang w:val="zh-CN"/>
        </w:rPr>
        <w:t>（二十五）承担市综合交通运输改革领导小组日常工作。</w:t>
      </w:r>
    </w:p>
    <w:p>
      <w:pPr>
        <w:autoSpaceDE w:val="0"/>
        <w:autoSpaceDN w:val="0"/>
        <w:adjustRightInd w:val="0"/>
        <w:spacing w:line="600" w:lineRule="exact"/>
        <w:ind w:firstLine="640" w:firstLineChars="200"/>
        <w:rPr>
          <w:rFonts w:hint="eastAsia" w:ascii="仿宋_GB2312" w:eastAsia="仿宋_GB2312" w:cs="仿宋"/>
          <w:kern w:val="0"/>
          <w:sz w:val="32"/>
          <w:szCs w:val="32"/>
          <w:lang w:val="zh-CN"/>
        </w:rPr>
      </w:pPr>
      <w:r>
        <w:rPr>
          <w:rFonts w:hint="eastAsia" w:ascii="仿宋_GB2312" w:eastAsia="仿宋_GB2312" w:cs="仿宋"/>
          <w:kern w:val="0"/>
          <w:sz w:val="32"/>
          <w:szCs w:val="32"/>
          <w:lang w:val="zh-CN"/>
        </w:rPr>
        <w:t>（二十六）完成市委、市政府交办的其他任务。</w:t>
      </w:r>
    </w:p>
    <w:p>
      <w:pPr>
        <w:autoSpaceDE w:val="0"/>
        <w:autoSpaceDN w:val="0"/>
        <w:adjustRightInd w:val="0"/>
        <w:spacing w:line="600" w:lineRule="exact"/>
        <w:ind w:firstLine="640" w:firstLineChars="200"/>
        <w:rPr>
          <w:rFonts w:hint="eastAsia" w:ascii="仿宋_GB2312" w:eastAsia="仿宋_GB2312" w:cs="仿宋"/>
          <w:kern w:val="0"/>
          <w:sz w:val="32"/>
          <w:szCs w:val="32"/>
          <w:lang w:val="zh-CN"/>
        </w:rPr>
      </w:pPr>
      <w:r>
        <w:rPr>
          <w:rFonts w:hint="eastAsia" w:ascii="仿宋_GB2312" w:eastAsia="仿宋_GB2312" w:cs="仿宋"/>
          <w:kern w:val="0"/>
          <w:sz w:val="32"/>
          <w:szCs w:val="32"/>
          <w:lang w:val="zh-CN"/>
        </w:rPr>
        <w:t>（二十七）职能转变。加强对全市城市管理工作的业务指导、组织协调、监督检查和考核评价。进一步强化保障性住房建设、房地产市场调控和促进建筑业发展相关职责，推进棚户区住房改造、房地产“去库存”和建筑产业现代化等工作。</w:t>
      </w:r>
    </w:p>
    <w:p>
      <w:pPr>
        <w:autoSpaceDE w:val="0"/>
        <w:autoSpaceDN w:val="0"/>
        <w:adjustRightInd w:val="0"/>
        <w:spacing w:line="600" w:lineRule="exact"/>
        <w:ind w:firstLine="640" w:firstLineChars="200"/>
        <w:rPr>
          <w:rFonts w:hint="eastAsia" w:ascii="仿宋_GB2312" w:eastAsia="仿宋_GB2312" w:cs="仿宋"/>
          <w:kern w:val="0"/>
          <w:sz w:val="32"/>
          <w:szCs w:val="32"/>
          <w:lang w:val="zh-CN"/>
        </w:rPr>
      </w:pPr>
      <w:r>
        <w:rPr>
          <w:rFonts w:hint="eastAsia" w:ascii="仿宋_GB2312" w:eastAsia="仿宋_GB2312" w:cs="仿宋"/>
          <w:kern w:val="0"/>
          <w:sz w:val="32"/>
          <w:szCs w:val="32"/>
          <w:lang w:val="zh-CN"/>
        </w:rPr>
        <w:t>（二十八）有关职责分工。</w:t>
      </w:r>
    </w:p>
    <w:p>
      <w:pPr>
        <w:autoSpaceDE w:val="0"/>
        <w:autoSpaceDN w:val="0"/>
        <w:adjustRightInd w:val="0"/>
        <w:spacing w:line="600" w:lineRule="exact"/>
        <w:ind w:firstLine="640" w:firstLineChars="200"/>
        <w:rPr>
          <w:rFonts w:hint="eastAsia" w:ascii="仿宋_GB2312" w:eastAsia="仿宋_GB2312" w:cs="仿宋"/>
          <w:kern w:val="0"/>
          <w:sz w:val="32"/>
          <w:szCs w:val="32"/>
          <w:lang w:val="zh-CN"/>
        </w:rPr>
      </w:pPr>
      <w:r>
        <w:rPr>
          <w:rFonts w:hint="eastAsia" w:ascii="仿宋_GB2312" w:eastAsia="仿宋_GB2312" w:cs="仿宋"/>
          <w:kern w:val="0"/>
          <w:sz w:val="32"/>
          <w:szCs w:val="32"/>
          <w:lang w:val="zh-CN"/>
        </w:rPr>
        <w:t>1.关于污水处理方面的职责分工。市住房和城乡建设局负责指导污水处理配套管网建设，组织指导城镇污水处理设施的规划、建设、运营监管。市生态环境局负责组织指导农村污水处理设施的规划、建设、运营监管工作。</w:t>
      </w:r>
    </w:p>
    <w:p>
      <w:pPr>
        <w:autoSpaceDE w:val="0"/>
        <w:autoSpaceDN w:val="0"/>
        <w:adjustRightInd w:val="0"/>
        <w:spacing w:line="600" w:lineRule="exact"/>
        <w:ind w:firstLine="640" w:firstLineChars="200"/>
        <w:rPr>
          <w:rFonts w:hint="default" w:ascii="仿宋" w:hAnsi="仿宋" w:eastAsia="仿宋" w:cs="宋体"/>
          <w:kern w:val="0"/>
          <w:sz w:val="32"/>
          <w:szCs w:val="32"/>
          <w:lang w:val="en-US" w:eastAsia="zh-CN"/>
        </w:rPr>
      </w:pPr>
      <w:r>
        <w:rPr>
          <w:rFonts w:hint="eastAsia" w:ascii="仿宋_GB2312" w:hAnsi="仿宋" w:eastAsia="仿宋_GB2312" w:cs="??_GB2312"/>
          <w:kern w:val="0"/>
          <w:sz w:val="32"/>
          <w:szCs w:val="32"/>
        </w:rPr>
        <w:t>2.</w:t>
      </w:r>
      <w:r>
        <w:rPr>
          <w:rFonts w:hint="eastAsia" w:ascii="仿宋_GB2312" w:hAnsi="仿宋" w:eastAsia="仿宋_GB2312" w:cs="宋体"/>
          <w:kern w:val="0"/>
          <w:sz w:val="32"/>
          <w:szCs w:val="32"/>
          <w:lang w:val="zh-CN"/>
        </w:rPr>
        <w:t>关于交通运输方面的职责分工。由市住房和城乡建设局（市交通运输局）牵头，会同市发展和改革局等部门建立综合交通运输体系协调配合机制，市交通运输局会同有关部门组织编制综合交通运输体系规划，组织交通行业间政策、规划和计划的衔接平衡，协调有关重大问题。市发展和改革局负责综合交通运输体系规划与国民经济和社会发展规划的衔接平衡，负责生产要素的运输综合平衡与调节，协调组织应急物资的紧急调运。</w:t>
      </w:r>
    </w:p>
    <w:p>
      <w:pPr>
        <w:pStyle w:val="10"/>
        <w:widowControl/>
        <w:numPr>
          <w:ilvl w:val="0"/>
          <w:numId w:val="1"/>
        </w:numPr>
        <w:spacing w:before="100" w:beforeAutospacing="1" w:after="100" w:afterAutospacing="1"/>
        <w:ind w:firstLineChars="0"/>
        <w:jc w:val="left"/>
        <w:rPr>
          <w:rFonts w:ascii="仿宋" w:hAnsi="仿宋" w:eastAsia="仿宋" w:cs="宋体"/>
          <w:kern w:val="0"/>
          <w:sz w:val="32"/>
          <w:szCs w:val="32"/>
        </w:rPr>
      </w:pPr>
      <w:r>
        <w:rPr>
          <w:rFonts w:hint="eastAsia" w:ascii="黑体" w:hAnsi="黑体" w:eastAsia="黑体" w:cs="宋体"/>
          <w:kern w:val="0"/>
          <w:sz w:val="32"/>
          <w:szCs w:val="32"/>
        </w:rPr>
        <w:t>单位预算单位构成</w:t>
      </w:r>
    </w:p>
    <w:p>
      <w:pPr>
        <w:autoSpaceDE w:val="0"/>
        <w:autoSpaceDN w:val="0"/>
        <w:adjustRightInd w:val="0"/>
        <w:spacing w:line="600" w:lineRule="exact"/>
        <w:ind w:firstLine="640" w:firstLineChars="200"/>
        <w:rPr>
          <w:rFonts w:hint="eastAsia" w:ascii="仿宋_GB2312" w:hAnsi="仿宋" w:eastAsia="仿宋_GB2312" w:cs="方正小标宋简体"/>
          <w:kern w:val="0"/>
          <w:sz w:val="32"/>
          <w:szCs w:val="32"/>
          <w:lang w:val="zh-CN"/>
        </w:rPr>
      </w:pPr>
      <w:r>
        <w:rPr>
          <w:rFonts w:hint="eastAsia" w:ascii="仿宋_GB2312" w:hAnsi="仿宋" w:eastAsia="仿宋_GB2312" w:cs="方正小标宋简体"/>
          <w:kern w:val="0"/>
          <w:sz w:val="32"/>
          <w:szCs w:val="32"/>
          <w:lang w:val="zh-CN"/>
        </w:rPr>
        <w:t>调兵山市住房和城乡建设局行政编制19名。设局长1名，副局长4名，其中，1名兼任市交通运输局局长，1名兼任市人民防空办公室主任，1名兼任市城市管理综合行政执法局局长。</w:t>
      </w:r>
    </w:p>
    <w:p>
      <w:pPr>
        <w:autoSpaceDE w:val="0"/>
        <w:autoSpaceDN w:val="0"/>
        <w:adjustRightInd w:val="0"/>
        <w:spacing w:line="600" w:lineRule="exact"/>
        <w:ind w:firstLine="640" w:firstLineChars="200"/>
        <w:rPr>
          <w:rFonts w:hint="eastAsia" w:ascii="仿宋_GB2312" w:hAnsi="仿宋" w:eastAsia="仿宋_GB2312" w:cs="方正小标宋简体"/>
          <w:kern w:val="0"/>
          <w:sz w:val="32"/>
          <w:szCs w:val="32"/>
          <w:lang w:val="zh-CN"/>
        </w:rPr>
      </w:pPr>
      <w:r>
        <w:rPr>
          <w:rFonts w:hint="eastAsia" w:ascii="仿宋_GB2312" w:hAnsi="仿宋" w:eastAsia="仿宋_GB2312" w:cs="方正小标宋简体"/>
          <w:kern w:val="0"/>
          <w:sz w:val="32"/>
          <w:szCs w:val="32"/>
          <w:lang w:val="zh-CN"/>
        </w:rPr>
        <w:t>机关工勤人员编制</w:t>
      </w:r>
      <w:r>
        <w:rPr>
          <w:rFonts w:hint="eastAsia" w:ascii="仿宋_GB2312" w:hAnsi="仿宋" w:eastAsia="仿宋_GB2312" w:cs="方正小标宋简体"/>
          <w:kern w:val="0"/>
          <w:sz w:val="32"/>
          <w:szCs w:val="32"/>
        </w:rPr>
        <w:t>3</w:t>
      </w:r>
      <w:r>
        <w:rPr>
          <w:rFonts w:hint="eastAsia" w:ascii="仿宋_GB2312" w:hAnsi="仿宋" w:eastAsia="仿宋_GB2312" w:cs="方正小标宋简体"/>
          <w:kern w:val="0"/>
          <w:sz w:val="32"/>
          <w:szCs w:val="32"/>
          <w:lang w:val="zh-CN"/>
        </w:rPr>
        <w:t>名。</w:t>
      </w:r>
    </w:p>
    <w:p>
      <w:pPr>
        <w:autoSpaceDE w:val="0"/>
        <w:autoSpaceDN w:val="0"/>
        <w:adjustRightInd w:val="0"/>
        <w:spacing w:line="600" w:lineRule="exact"/>
        <w:ind w:firstLine="640" w:firstLineChars="200"/>
        <w:rPr>
          <w:rFonts w:hint="eastAsia" w:ascii="仿宋_GB2312" w:hAnsi="仿宋" w:eastAsia="仿宋_GB2312" w:cs="方正小标宋简体"/>
          <w:kern w:val="0"/>
          <w:sz w:val="32"/>
          <w:szCs w:val="32"/>
          <w:lang w:val="zh-CN"/>
        </w:rPr>
      </w:pPr>
      <w:r>
        <w:rPr>
          <w:rFonts w:hint="eastAsia" w:ascii="仿宋_GB2312" w:hAnsi="仿宋" w:eastAsia="仿宋_GB2312" w:cs="方正小标宋简体"/>
          <w:kern w:val="0"/>
          <w:sz w:val="32"/>
          <w:szCs w:val="32"/>
          <w:lang w:val="zh-CN"/>
        </w:rPr>
        <w:t>调兵山市住房和城乡建设局在职人员1</w:t>
      </w:r>
      <w:r>
        <w:rPr>
          <w:rFonts w:hint="eastAsia" w:ascii="仿宋_GB2312" w:hAnsi="仿宋" w:eastAsia="仿宋_GB2312" w:cs="方正小标宋简体"/>
          <w:kern w:val="0"/>
          <w:sz w:val="32"/>
          <w:szCs w:val="32"/>
          <w:lang w:val="en-US" w:eastAsia="zh-CN"/>
        </w:rPr>
        <w:t>9</w:t>
      </w:r>
      <w:r>
        <w:rPr>
          <w:rFonts w:hint="eastAsia" w:ascii="仿宋_GB2312" w:hAnsi="仿宋" w:eastAsia="仿宋_GB2312" w:cs="方正小标宋简体"/>
          <w:kern w:val="0"/>
          <w:sz w:val="32"/>
          <w:szCs w:val="32"/>
          <w:lang w:val="zh-CN"/>
        </w:rPr>
        <w:t>人；退休3</w:t>
      </w:r>
      <w:r>
        <w:rPr>
          <w:rFonts w:hint="eastAsia" w:ascii="仿宋_GB2312" w:hAnsi="仿宋" w:eastAsia="仿宋_GB2312" w:cs="方正小标宋简体"/>
          <w:kern w:val="0"/>
          <w:sz w:val="32"/>
          <w:szCs w:val="32"/>
          <w:lang w:val="en-US" w:eastAsia="zh-CN"/>
        </w:rPr>
        <w:t>7</w:t>
      </w:r>
      <w:r>
        <w:rPr>
          <w:rFonts w:hint="eastAsia" w:ascii="仿宋_GB2312" w:hAnsi="仿宋" w:eastAsia="仿宋_GB2312" w:cs="方正小标宋简体"/>
          <w:kern w:val="0"/>
          <w:sz w:val="32"/>
          <w:szCs w:val="32"/>
          <w:lang w:val="zh-CN"/>
        </w:rPr>
        <w:t>人；离休1人；遗属5人；派遣</w:t>
      </w:r>
      <w:r>
        <w:rPr>
          <w:rFonts w:hint="eastAsia" w:ascii="仿宋_GB2312" w:hAnsi="仿宋" w:eastAsia="仿宋_GB2312" w:cs="方正小标宋简体"/>
          <w:kern w:val="0"/>
          <w:sz w:val="32"/>
          <w:szCs w:val="32"/>
          <w:lang w:val="en-US" w:eastAsia="zh-CN"/>
        </w:rPr>
        <w:t>49</w:t>
      </w:r>
      <w:r>
        <w:rPr>
          <w:rFonts w:hint="eastAsia" w:ascii="仿宋_GB2312" w:hAnsi="仿宋" w:eastAsia="仿宋_GB2312" w:cs="方正小标宋简体"/>
          <w:kern w:val="0"/>
          <w:sz w:val="32"/>
          <w:szCs w:val="32"/>
          <w:lang w:val="zh-CN"/>
        </w:rPr>
        <w:t>人。</w:t>
      </w:r>
    </w:p>
    <w:p>
      <w:pPr>
        <w:autoSpaceDE w:val="0"/>
        <w:autoSpaceDN w:val="0"/>
        <w:adjustRightInd w:val="0"/>
        <w:spacing w:line="600" w:lineRule="exact"/>
        <w:ind w:firstLine="640" w:firstLineChars="200"/>
        <w:rPr>
          <w:rFonts w:hint="default" w:ascii="仿宋_GB2312" w:hAnsi="仿宋" w:eastAsia="仿宋_GB2312" w:cs="方正小标宋简体"/>
          <w:kern w:val="0"/>
          <w:sz w:val="32"/>
          <w:szCs w:val="32"/>
          <w:lang w:val="en-US" w:eastAsia="zh-CN"/>
        </w:rPr>
      </w:pPr>
    </w:p>
    <w:p>
      <w:pPr>
        <w:widowControl/>
        <w:spacing w:before="100" w:beforeAutospacing="1" w:after="100" w:afterAutospacing="1"/>
        <w:jc w:val="left"/>
        <w:rPr>
          <w:rFonts w:hint="eastAsia" w:ascii="黑体" w:hAnsi="黑体" w:eastAsia="黑体" w:cs="宋体"/>
          <w:kern w:val="0"/>
          <w:sz w:val="36"/>
          <w:szCs w:val="36"/>
        </w:rPr>
      </w:pPr>
      <w:r>
        <w:rPr>
          <w:rFonts w:hint="eastAsia" w:ascii="黑体" w:hAnsi="黑体" w:eastAsia="黑体" w:cs="宋体"/>
          <w:kern w:val="0"/>
          <w:sz w:val="36"/>
          <w:szCs w:val="36"/>
        </w:rPr>
        <w:t>第二部分</w:t>
      </w:r>
      <w:r>
        <w:rPr>
          <w:rFonts w:hint="eastAsia" w:ascii="黑体" w:hAnsi="黑体" w:eastAsia="黑体" w:cs="宋体"/>
          <w:kern w:val="0"/>
          <w:sz w:val="36"/>
          <w:szCs w:val="36"/>
          <w:lang w:val="en-US" w:eastAsia="zh-CN"/>
        </w:rPr>
        <w:t xml:space="preserve"> 2022年</w:t>
      </w:r>
      <w:r>
        <w:rPr>
          <w:rFonts w:hint="eastAsia" w:ascii="黑体" w:hAnsi="黑体" w:eastAsia="黑体" w:cs="宋体"/>
          <w:kern w:val="0"/>
          <w:sz w:val="36"/>
          <w:szCs w:val="36"/>
        </w:rPr>
        <w:t>单位预算表(</w:t>
      </w:r>
      <w:r>
        <w:rPr>
          <w:rFonts w:hint="eastAsia" w:ascii="仿宋" w:hAnsi="仿宋" w:eastAsia="仿宋" w:cs="宋体"/>
          <w:kern w:val="0"/>
          <w:sz w:val="32"/>
          <w:szCs w:val="32"/>
        </w:rPr>
        <w:t>见附件2)</w:t>
      </w:r>
    </w:p>
    <w:p>
      <w:pPr>
        <w:widowControl/>
        <w:spacing w:before="100" w:beforeAutospacing="1" w:after="100" w:afterAutospacing="1"/>
        <w:jc w:val="left"/>
        <w:rPr>
          <w:rFonts w:ascii="仿宋" w:hAnsi="仿宋" w:eastAsia="仿宋" w:cs="宋体"/>
          <w:kern w:val="0"/>
          <w:sz w:val="32"/>
          <w:szCs w:val="32"/>
        </w:rPr>
      </w:pPr>
      <w:r>
        <w:rPr>
          <w:rFonts w:hint="eastAsia" w:ascii="黑体" w:hAnsi="黑体" w:eastAsia="黑体" w:cs="宋体"/>
          <w:kern w:val="0"/>
          <w:sz w:val="36"/>
          <w:szCs w:val="36"/>
        </w:rPr>
        <w:t>第三部分 2022年单位预算情况说明</w:t>
      </w:r>
    </w:p>
    <w:p>
      <w:pPr>
        <w:widowControl/>
        <w:jc w:val="left"/>
        <w:rPr>
          <w:rFonts w:ascii="微软雅黑" w:hAnsi="微软雅黑" w:eastAsia="微软雅黑" w:cs="宋体"/>
          <w:kern w:val="0"/>
          <w:sz w:val="24"/>
          <w:szCs w:val="24"/>
        </w:rPr>
      </w:pPr>
      <w:r>
        <w:rPr>
          <w:rFonts w:hint="eastAsia" w:ascii="宋体" w:hAnsi="宋体" w:eastAsia="宋体" w:cs="宋体"/>
          <w:kern w:val="0"/>
          <w:sz w:val="32"/>
          <w:szCs w:val="32"/>
        </w:rPr>
        <w:t>2022年调兵山市</w:t>
      </w:r>
      <w:r>
        <w:rPr>
          <w:rFonts w:hint="eastAsia" w:ascii="宋体" w:hAnsi="宋体" w:eastAsia="宋体" w:cs="宋体"/>
          <w:kern w:val="0"/>
          <w:sz w:val="32"/>
          <w:szCs w:val="32"/>
          <w:lang w:eastAsia="zh-CN"/>
        </w:rPr>
        <w:t>住房和城乡建设局</w:t>
      </w:r>
      <w:r>
        <w:rPr>
          <w:rFonts w:hint="eastAsia" w:ascii="宋体" w:hAnsi="宋体" w:eastAsia="宋体" w:cs="宋体"/>
          <w:kern w:val="0"/>
          <w:sz w:val="32"/>
          <w:szCs w:val="32"/>
        </w:rPr>
        <w:t>收支预算的总体说明</w:t>
      </w:r>
    </w:p>
    <w:p>
      <w:pPr>
        <w:widowControl/>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按照综合预算的原则，2022年调兵山市</w:t>
      </w:r>
      <w:r>
        <w:rPr>
          <w:rFonts w:hint="eastAsia" w:ascii="仿宋" w:hAnsi="仿宋" w:eastAsia="仿宋" w:cs="宋体"/>
          <w:kern w:val="0"/>
          <w:sz w:val="32"/>
          <w:szCs w:val="32"/>
          <w:lang w:eastAsia="zh-CN"/>
        </w:rPr>
        <w:t>住房和城乡建设局</w:t>
      </w:r>
      <w:r>
        <w:rPr>
          <w:rFonts w:hint="eastAsia" w:ascii="仿宋" w:hAnsi="仿宋" w:eastAsia="仿宋" w:cs="宋体"/>
          <w:kern w:val="0"/>
          <w:sz w:val="32"/>
          <w:szCs w:val="32"/>
        </w:rPr>
        <w:t>所有理收入和支出均纳入预算管。其中：</w:t>
      </w:r>
    </w:p>
    <w:p>
      <w:pPr>
        <w:widowControl/>
        <w:spacing w:before="100" w:beforeAutospacing="1" w:after="100" w:afterAutospacing="1"/>
        <w:jc w:val="left"/>
        <w:rPr>
          <w:rFonts w:ascii="楷体" w:hAnsi="楷体" w:eastAsia="楷体" w:cs="宋体"/>
          <w:b/>
          <w:bCs/>
          <w:kern w:val="0"/>
          <w:sz w:val="32"/>
        </w:rPr>
      </w:pPr>
      <w:r>
        <w:rPr>
          <w:rFonts w:hint="eastAsia" w:ascii="楷体" w:hAnsi="楷体" w:eastAsia="楷体" w:cs="宋体"/>
          <w:b/>
          <w:bCs/>
          <w:kern w:val="0"/>
          <w:sz w:val="32"/>
        </w:rPr>
        <w:t>（一）收入情况。</w:t>
      </w:r>
    </w:p>
    <w:p>
      <w:pPr>
        <w:widowControl/>
        <w:spacing w:before="100" w:beforeAutospacing="1" w:after="100" w:afterAutospacing="1"/>
        <w:ind w:firstLine="640" w:firstLineChars="200"/>
        <w:jc w:val="left"/>
        <w:rPr>
          <w:rFonts w:hint="eastAsia" w:ascii="仿宋" w:hAnsi="仿宋" w:eastAsia="仿宋" w:cs="宋体"/>
          <w:kern w:val="0"/>
          <w:sz w:val="32"/>
          <w:szCs w:val="32"/>
          <w:lang w:eastAsia="zh-CN"/>
        </w:rPr>
      </w:pPr>
      <w:r>
        <w:rPr>
          <w:rFonts w:hint="eastAsia" w:ascii="仿宋" w:hAnsi="仿宋" w:eastAsia="仿宋" w:cs="宋体"/>
          <w:kern w:val="0"/>
          <w:sz w:val="32"/>
          <w:szCs w:val="32"/>
        </w:rPr>
        <w:t>2022年单位预算收入总计</w:t>
      </w:r>
      <w:r>
        <w:rPr>
          <w:rFonts w:hint="eastAsia" w:ascii="仿宋" w:hAnsi="仿宋" w:eastAsia="仿宋" w:cs="宋体"/>
          <w:kern w:val="0"/>
          <w:sz w:val="32"/>
          <w:szCs w:val="32"/>
          <w:lang w:val="en-US" w:eastAsia="zh-CN"/>
        </w:rPr>
        <w:t>2824.62</w:t>
      </w:r>
      <w:r>
        <w:rPr>
          <w:rFonts w:hint="eastAsia" w:ascii="仿宋" w:hAnsi="仿宋" w:eastAsia="仿宋" w:cs="宋体"/>
          <w:kern w:val="0"/>
          <w:sz w:val="32"/>
          <w:szCs w:val="32"/>
        </w:rPr>
        <w:t>万元，其中：本年收入</w:t>
      </w:r>
      <w:r>
        <w:rPr>
          <w:rFonts w:hint="eastAsia" w:ascii="仿宋" w:hAnsi="仿宋" w:eastAsia="仿宋" w:cs="宋体"/>
          <w:kern w:val="0"/>
          <w:sz w:val="32"/>
          <w:szCs w:val="32"/>
          <w:lang w:val="en-US" w:eastAsia="zh-CN"/>
        </w:rPr>
        <w:t>2824.62</w:t>
      </w:r>
      <w:r>
        <w:rPr>
          <w:rFonts w:hint="eastAsia" w:ascii="仿宋" w:hAnsi="仿宋" w:eastAsia="仿宋" w:cs="宋体"/>
          <w:kern w:val="0"/>
          <w:sz w:val="32"/>
          <w:szCs w:val="32"/>
        </w:rPr>
        <w:t xml:space="preserve"> 万元，上年结转收入</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 xml:space="preserve">  万元，收入同</w:t>
      </w:r>
      <w:r>
        <w:rPr>
          <w:rFonts w:hint="eastAsia" w:ascii="仿宋" w:hAnsi="仿宋" w:eastAsia="仿宋" w:cs="宋体"/>
          <w:kern w:val="0"/>
          <w:sz w:val="32"/>
          <w:szCs w:val="32"/>
          <w:lang w:val="en-US" w:eastAsia="zh-CN"/>
        </w:rPr>
        <w:t>增加344.92</w:t>
      </w:r>
      <w:r>
        <w:rPr>
          <w:rFonts w:hint="eastAsia" w:ascii="仿宋" w:hAnsi="仿宋" w:eastAsia="仿宋" w:cs="宋体"/>
          <w:kern w:val="0"/>
          <w:sz w:val="32"/>
          <w:szCs w:val="32"/>
        </w:rPr>
        <w:t>万元，</w:t>
      </w:r>
      <w:r>
        <w:rPr>
          <w:rFonts w:hint="eastAsia" w:ascii="仿宋" w:hAnsi="仿宋" w:eastAsia="仿宋" w:cs="宋体"/>
          <w:kern w:val="0"/>
          <w:sz w:val="32"/>
          <w:szCs w:val="32"/>
          <w:lang w:eastAsia="zh-CN"/>
        </w:rPr>
        <w:t>增加</w:t>
      </w:r>
      <w:r>
        <w:rPr>
          <w:rFonts w:hint="eastAsia" w:ascii="宋体" w:hAnsi="宋体" w:eastAsia="宋体" w:cs="宋体"/>
          <w:kern w:val="0"/>
          <w:sz w:val="32"/>
          <w:szCs w:val="32"/>
          <w:lang w:val="en-US" w:eastAsia="zh-CN"/>
        </w:rPr>
        <w:t>13.9</w:t>
      </w:r>
      <w:r>
        <w:rPr>
          <w:rFonts w:hint="eastAsia" w:ascii="仿宋" w:hAnsi="仿宋" w:eastAsia="仿宋" w:cs="仿宋"/>
          <w:kern w:val="0"/>
          <w:sz w:val="32"/>
          <w:szCs w:val="32"/>
        </w:rPr>
        <w:t>%</w:t>
      </w:r>
      <w:r>
        <w:rPr>
          <w:rFonts w:hint="eastAsia" w:ascii="仿宋" w:hAnsi="仿宋" w:eastAsia="仿宋" w:cs="宋体"/>
          <w:kern w:val="0"/>
          <w:sz w:val="32"/>
          <w:szCs w:val="32"/>
        </w:rPr>
        <w:t>，主要原因是:</w:t>
      </w:r>
      <w:r>
        <w:rPr>
          <w:rFonts w:hint="eastAsia" w:ascii="仿宋" w:hAnsi="仿宋" w:eastAsia="仿宋" w:cs="宋体"/>
          <w:kern w:val="0"/>
          <w:sz w:val="32"/>
          <w:szCs w:val="32"/>
          <w:lang w:eastAsia="zh-CN"/>
        </w:rPr>
        <w:t>物业公司项目支出增加。</w:t>
      </w:r>
    </w:p>
    <w:p>
      <w:pPr>
        <w:widowControl/>
        <w:spacing w:before="100" w:beforeAutospacing="1" w:after="100" w:afterAutospacing="1"/>
        <w:jc w:val="left"/>
        <w:rPr>
          <w:rFonts w:ascii="楷体" w:hAnsi="楷体" w:eastAsia="楷体" w:cs="宋体"/>
          <w:b/>
          <w:bCs/>
          <w:kern w:val="0"/>
          <w:sz w:val="32"/>
        </w:rPr>
      </w:pPr>
      <w:r>
        <w:rPr>
          <w:rFonts w:hint="eastAsia" w:ascii="楷体" w:hAnsi="楷体" w:eastAsia="楷体" w:cs="宋体"/>
          <w:b/>
          <w:bCs/>
          <w:kern w:val="0"/>
          <w:sz w:val="32"/>
        </w:rPr>
        <w:t>（二）支出情况。</w:t>
      </w:r>
    </w:p>
    <w:p>
      <w:pPr>
        <w:widowControl/>
        <w:spacing w:before="100" w:beforeAutospacing="1" w:after="100" w:afterAutospacing="1"/>
        <w:ind w:firstLine="627" w:firstLineChars="196"/>
        <w:jc w:val="left"/>
        <w:rPr>
          <w:rFonts w:ascii="宋体" w:hAnsi="宋体" w:eastAsia="宋体" w:cs="宋体"/>
          <w:kern w:val="0"/>
          <w:sz w:val="24"/>
          <w:szCs w:val="24"/>
        </w:rPr>
      </w:pPr>
      <w:r>
        <w:rPr>
          <w:rFonts w:hint="eastAsia" w:ascii="仿宋" w:hAnsi="仿宋" w:eastAsia="仿宋" w:cs="宋体"/>
          <w:kern w:val="0"/>
          <w:sz w:val="32"/>
          <w:szCs w:val="32"/>
        </w:rPr>
        <w:t>2022年单位预算支出总计</w:t>
      </w:r>
      <w:r>
        <w:rPr>
          <w:rFonts w:hint="eastAsia" w:ascii="仿宋" w:hAnsi="仿宋" w:eastAsia="仿宋" w:cs="宋体"/>
          <w:kern w:val="0"/>
          <w:sz w:val="32"/>
          <w:szCs w:val="32"/>
          <w:lang w:val="en-US" w:eastAsia="zh-CN"/>
        </w:rPr>
        <w:t xml:space="preserve">2824.62 </w:t>
      </w:r>
      <w:r>
        <w:rPr>
          <w:rFonts w:hint="eastAsia" w:ascii="仿宋" w:hAnsi="仿宋" w:eastAsia="仿宋" w:cs="宋体"/>
          <w:kern w:val="0"/>
          <w:sz w:val="32"/>
          <w:szCs w:val="32"/>
        </w:rPr>
        <w:t xml:space="preserve">万元，其中：工资福利支出 </w:t>
      </w:r>
      <w:r>
        <w:rPr>
          <w:rFonts w:hint="eastAsia" w:ascii="仿宋" w:hAnsi="仿宋" w:eastAsia="仿宋" w:cs="宋体"/>
          <w:kern w:val="0"/>
          <w:sz w:val="32"/>
          <w:szCs w:val="32"/>
          <w:lang w:val="en-US" w:eastAsia="zh-CN"/>
        </w:rPr>
        <w:t>198.46</w:t>
      </w:r>
      <w:r>
        <w:rPr>
          <w:rFonts w:hint="eastAsia" w:ascii="仿宋" w:hAnsi="仿宋" w:eastAsia="仿宋" w:cs="宋体"/>
          <w:kern w:val="0"/>
          <w:sz w:val="32"/>
          <w:szCs w:val="32"/>
        </w:rPr>
        <w:t xml:space="preserve">万元，商品和服务支出 </w:t>
      </w:r>
      <w:r>
        <w:rPr>
          <w:rFonts w:hint="eastAsia" w:ascii="仿宋" w:hAnsi="仿宋" w:eastAsia="仿宋" w:cs="宋体"/>
          <w:kern w:val="0"/>
          <w:sz w:val="32"/>
          <w:szCs w:val="32"/>
          <w:lang w:val="en-US" w:eastAsia="zh-CN"/>
        </w:rPr>
        <w:t>50.57</w:t>
      </w:r>
      <w:r>
        <w:rPr>
          <w:rFonts w:hint="eastAsia" w:ascii="仿宋" w:hAnsi="仿宋" w:eastAsia="仿宋" w:cs="宋体"/>
          <w:kern w:val="0"/>
          <w:sz w:val="32"/>
          <w:szCs w:val="32"/>
        </w:rPr>
        <w:t xml:space="preserve">万元，对个人和家庭的补助支出 </w:t>
      </w:r>
      <w:r>
        <w:rPr>
          <w:rFonts w:hint="eastAsia" w:ascii="仿宋" w:hAnsi="仿宋" w:eastAsia="仿宋" w:cs="宋体"/>
          <w:kern w:val="0"/>
          <w:sz w:val="32"/>
          <w:szCs w:val="32"/>
          <w:lang w:val="en-US" w:eastAsia="zh-CN"/>
        </w:rPr>
        <w:t>24.71</w:t>
      </w:r>
      <w:r>
        <w:rPr>
          <w:rFonts w:hint="eastAsia" w:ascii="仿宋" w:hAnsi="仿宋" w:eastAsia="仿宋" w:cs="宋体"/>
          <w:kern w:val="0"/>
          <w:sz w:val="32"/>
          <w:szCs w:val="32"/>
        </w:rPr>
        <w:t xml:space="preserve"> 万元，项目支出</w:t>
      </w: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2550.88</w:t>
      </w:r>
      <w:r>
        <w:rPr>
          <w:rFonts w:hint="eastAsia" w:ascii="仿宋" w:hAnsi="仿宋" w:eastAsia="仿宋" w:cs="宋体"/>
          <w:kern w:val="0"/>
          <w:sz w:val="32"/>
          <w:szCs w:val="32"/>
        </w:rPr>
        <w:t>万元。支出同比</w:t>
      </w:r>
      <w:r>
        <w:rPr>
          <w:rFonts w:hint="eastAsia" w:ascii="仿宋" w:hAnsi="仿宋" w:eastAsia="仿宋" w:cs="宋体"/>
          <w:kern w:val="0"/>
          <w:sz w:val="32"/>
          <w:szCs w:val="32"/>
          <w:lang w:eastAsia="zh-CN"/>
        </w:rPr>
        <w:t>增加</w:t>
      </w:r>
      <w:r>
        <w:rPr>
          <w:rFonts w:hint="eastAsia" w:ascii="仿宋" w:hAnsi="仿宋" w:eastAsia="仿宋" w:cs="宋体"/>
          <w:kern w:val="0"/>
          <w:sz w:val="32"/>
          <w:szCs w:val="32"/>
          <w:lang w:val="en-US" w:eastAsia="zh-CN"/>
        </w:rPr>
        <w:t>344.92</w:t>
      </w:r>
      <w:r>
        <w:rPr>
          <w:rFonts w:hint="eastAsia" w:ascii="仿宋" w:hAnsi="仿宋" w:eastAsia="仿宋" w:cs="宋体"/>
          <w:kern w:val="0"/>
          <w:sz w:val="32"/>
          <w:szCs w:val="32"/>
        </w:rPr>
        <w:t xml:space="preserve">万元，主要原因是: </w:t>
      </w:r>
      <w:r>
        <w:rPr>
          <w:rFonts w:hint="eastAsia" w:ascii="仿宋" w:hAnsi="仿宋" w:eastAsia="仿宋" w:cs="宋体"/>
          <w:kern w:val="0"/>
          <w:sz w:val="32"/>
          <w:szCs w:val="32"/>
          <w:lang w:eastAsia="zh-CN"/>
        </w:rPr>
        <w:t>物业公司项目支出增加。</w:t>
      </w:r>
    </w:p>
    <w:p>
      <w:pPr>
        <w:widowControl/>
        <w:spacing w:before="100" w:beforeAutospacing="1" w:after="100" w:afterAutospacing="1"/>
        <w:jc w:val="left"/>
        <w:rPr>
          <w:rFonts w:ascii="宋体" w:hAnsi="宋体" w:eastAsia="宋体" w:cs="宋体"/>
          <w:kern w:val="0"/>
          <w:sz w:val="24"/>
          <w:szCs w:val="24"/>
        </w:rPr>
      </w:pPr>
      <w:r>
        <w:rPr>
          <w:rFonts w:hint="eastAsia" w:ascii="仿宋" w:hAnsi="仿宋" w:eastAsia="仿宋" w:cs="宋体"/>
          <w:kern w:val="0"/>
          <w:sz w:val="32"/>
          <w:szCs w:val="32"/>
        </w:rPr>
        <w:t>2022年发生政府性基金安排的支出</w:t>
      </w:r>
      <w:r>
        <w:rPr>
          <w:rFonts w:hint="eastAsia" w:ascii="仿宋" w:hAnsi="仿宋" w:eastAsia="仿宋" w:cs="宋体"/>
          <w:kern w:val="0"/>
          <w:sz w:val="32"/>
          <w:szCs w:val="32"/>
          <w:lang w:val="en-US" w:eastAsia="zh-CN"/>
        </w:rPr>
        <w:t>0万元</w:t>
      </w:r>
      <w:r>
        <w:rPr>
          <w:rFonts w:hint="eastAsia" w:ascii="仿宋" w:hAnsi="仿宋" w:eastAsia="仿宋" w:cs="宋体"/>
          <w:kern w:val="0"/>
          <w:sz w:val="32"/>
          <w:szCs w:val="32"/>
        </w:rPr>
        <w:t>：</w:t>
      </w:r>
    </w:p>
    <w:p>
      <w:pPr>
        <w:widowControl/>
        <w:spacing w:before="100" w:beforeAutospacing="1" w:after="100" w:afterAutospacing="1"/>
        <w:jc w:val="left"/>
        <w:rPr>
          <w:rFonts w:ascii="宋体" w:hAnsi="宋体" w:eastAsia="宋体" w:cs="宋体"/>
          <w:kern w:val="0"/>
          <w:sz w:val="24"/>
          <w:szCs w:val="24"/>
        </w:rPr>
      </w:pPr>
      <w:r>
        <w:rPr>
          <w:rFonts w:hint="eastAsia" w:ascii="仿宋" w:hAnsi="仿宋" w:eastAsia="仿宋" w:cs="宋体"/>
          <w:kern w:val="0"/>
          <w:sz w:val="32"/>
          <w:szCs w:val="32"/>
        </w:rPr>
        <w:t>2022年省提前告知专项安排的支出</w:t>
      </w:r>
      <w:r>
        <w:rPr>
          <w:rFonts w:hint="eastAsia" w:ascii="仿宋" w:hAnsi="仿宋" w:eastAsia="仿宋" w:cs="宋体"/>
          <w:kern w:val="0"/>
          <w:sz w:val="32"/>
          <w:szCs w:val="32"/>
          <w:lang w:val="en-US" w:eastAsia="zh-CN"/>
        </w:rPr>
        <w:t>0万元</w:t>
      </w:r>
      <w:r>
        <w:rPr>
          <w:rFonts w:hint="eastAsia" w:ascii="仿宋" w:hAnsi="仿宋" w:eastAsia="仿宋" w:cs="宋体"/>
          <w:kern w:val="0"/>
          <w:sz w:val="32"/>
          <w:szCs w:val="32"/>
        </w:rPr>
        <w:t>。</w:t>
      </w:r>
    </w:p>
    <w:p>
      <w:pPr>
        <w:widowControl/>
        <w:numPr>
          <w:ilvl w:val="0"/>
          <w:numId w:val="1"/>
        </w:numPr>
        <w:spacing w:before="100" w:beforeAutospacing="1" w:after="100" w:afterAutospacing="1"/>
        <w:ind w:left="660" w:leftChars="0" w:hanging="660" w:firstLineChars="0"/>
        <w:jc w:val="left"/>
        <w:rPr>
          <w:rFonts w:hint="eastAsia" w:ascii="宋体" w:hAnsi="宋体" w:eastAsia="宋体" w:cs="宋体"/>
          <w:kern w:val="0"/>
          <w:sz w:val="32"/>
          <w:szCs w:val="32"/>
        </w:rPr>
      </w:pPr>
      <w:r>
        <w:rPr>
          <w:rFonts w:hint="eastAsia" w:ascii="宋体" w:hAnsi="宋体" w:eastAsia="宋体" w:cs="宋体"/>
          <w:kern w:val="0"/>
          <w:sz w:val="32"/>
          <w:szCs w:val="32"/>
        </w:rPr>
        <w:t>机关运行经费安排和使用情况。</w:t>
      </w:r>
    </w:p>
    <w:p>
      <w:pPr>
        <w:widowControl/>
        <w:numPr>
          <w:numId w:val="0"/>
        </w:numPr>
        <w:spacing w:before="100" w:beforeAutospacing="1" w:after="100" w:afterAutospacing="1"/>
        <w:ind w:leftChars="0"/>
        <w:jc w:val="left"/>
        <w:rPr>
          <w:rFonts w:hint="eastAsia" w:ascii="宋体" w:hAnsi="宋体" w:eastAsia="宋体" w:cs="宋体"/>
          <w:kern w:val="0"/>
          <w:sz w:val="32"/>
          <w:szCs w:val="32"/>
        </w:rPr>
      </w:pPr>
      <w:r>
        <w:rPr>
          <w:rFonts w:hint="eastAsia" w:ascii="宋体" w:hAnsi="宋体" w:eastAsia="宋体" w:cs="宋体"/>
          <w:kern w:val="0"/>
          <w:sz w:val="32"/>
          <w:szCs w:val="32"/>
        </w:rPr>
        <w:t>20</w:t>
      </w:r>
      <w:r>
        <w:rPr>
          <w:rFonts w:ascii="宋体" w:hAnsi="宋体" w:eastAsia="宋体" w:cs="宋体"/>
          <w:kern w:val="0"/>
          <w:sz w:val="32"/>
          <w:szCs w:val="32"/>
        </w:rPr>
        <w:t>2</w:t>
      </w:r>
      <w:r>
        <w:rPr>
          <w:rFonts w:hint="eastAsia" w:ascii="宋体" w:hAnsi="宋体" w:eastAsia="宋体" w:cs="宋体"/>
          <w:kern w:val="0"/>
          <w:sz w:val="32"/>
          <w:szCs w:val="32"/>
          <w:lang w:val="en-US" w:eastAsia="zh-CN"/>
        </w:rPr>
        <w:t>2</w:t>
      </w:r>
      <w:r>
        <w:rPr>
          <w:rFonts w:hint="eastAsia" w:ascii="宋体" w:hAnsi="宋体" w:eastAsia="宋体" w:cs="宋体"/>
          <w:kern w:val="0"/>
          <w:sz w:val="32"/>
          <w:szCs w:val="32"/>
        </w:rPr>
        <w:t>年机关运行经费预算安排</w:t>
      </w:r>
      <w:r>
        <w:rPr>
          <w:rFonts w:hint="eastAsia" w:ascii="宋体" w:hAnsi="宋体" w:eastAsia="宋体" w:cs="宋体"/>
          <w:kern w:val="0"/>
          <w:sz w:val="32"/>
          <w:szCs w:val="32"/>
          <w:lang w:val="en-US" w:eastAsia="zh-CN"/>
        </w:rPr>
        <w:t>50.57</w:t>
      </w:r>
      <w:r>
        <w:rPr>
          <w:rFonts w:hint="eastAsia" w:ascii="宋体" w:hAnsi="宋体" w:eastAsia="宋体" w:cs="宋体"/>
          <w:kern w:val="0"/>
          <w:sz w:val="32"/>
          <w:szCs w:val="32"/>
        </w:rPr>
        <w:t>万元，比202</w:t>
      </w:r>
      <w:r>
        <w:rPr>
          <w:rFonts w:hint="eastAsia" w:ascii="宋体" w:hAnsi="宋体" w:eastAsia="宋体" w:cs="宋体"/>
          <w:kern w:val="0"/>
          <w:sz w:val="32"/>
          <w:szCs w:val="32"/>
          <w:lang w:val="en-US" w:eastAsia="zh-CN"/>
        </w:rPr>
        <w:t>1</w:t>
      </w:r>
      <w:r>
        <w:rPr>
          <w:rFonts w:hint="eastAsia" w:ascii="宋体" w:hAnsi="宋体" w:eastAsia="宋体" w:cs="宋体"/>
          <w:kern w:val="0"/>
          <w:sz w:val="32"/>
          <w:szCs w:val="32"/>
        </w:rPr>
        <w:t>年</w:t>
      </w:r>
      <w:r>
        <w:rPr>
          <w:rFonts w:hint="eastAsia" w:ascii="宋体" w:hAnsi="宋体" w:eastAsia="宋体" w:cs="宋体"/>
          <w:kern w:val="0"/>
          <w:sz w:val="32"/>
          <w:szCs w:val="32"/>
          <w:lang w:eastAsia="zh-CN"/>
        </w:rPr>
        <w:t>减少</w:t>
      </w:r>
      <w:r>
        <w:rPr>
          <w:rFonts w:hint="eastAsia" w:ascii="宋体" w:hAnsi="宋体" w:eastAsia="宋体" w:cs="宋体"/>
          <w:kern w:val="0"/>
          <w:sz w:val="32"/>
          <w:szCs w:val="32"/>
          <w:lang w:val="en-US" w:eastAsia="zh-CN"/>
        </w:rPr>
        <w:t>14.61</w:t>
      </w:r>
      <w:r>
        <w:rPr>
          <w:rFonts w:hint="eastAsia" w:ascii="宋体" w:hAnsi="宋体" w:eastAsia="宋体" w:cs="宋体"/>
          <w:kern w:val="0"/>
          <w:sz w:val="32"/>
          <w:szCs w:val="32"/>
        </w:rPr>
        <w:t>万元，原因：</w:t>
      </w:r>
      <w:bookmarkStart w:id="0" w:name="_GoBack"/>
      <w:bookmarkEnd w:id="0"/>
      <w:r>
        <w:rPr>
          <w:rFonts w:hint="eastAsia" w:ascii="宋体" w:hAnsi="宋体" w:eastAsia="宋体" w:cs="宋体"/>
          <w:kern w:val="0"/>
          <w:sz w:val="32"/>
          <w:szCs w:val="32"/>
        </w:rPr>
        <w:t>。</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32"/>
          <w:szCs w:val="32"/>
        </w:rPr>
        <w:t>三、政府采购情况。</w:t>
      </w:r>
      <w:r>
        <w:rPr>
          <w:rFonts w:hint="eastAsia" w:ascii="仿宋" w:hAnsi="仿宋" w:eastAsia="仿宋" w:cs="宋体"/>
          <w:kern w:val="0"/>
          <w:sz w:val="32"/>
          <w:szCs w:val="32"/>
        </w:rPr>
        <w:t xml:space="preserve"> </w:t>
      </w:r>
    </w:p>
    <w:p>
      <w:pPr>
        <w:widowControl/>
        <w:spacing w:before="100" w:beforeAutospacing="1" w:after="100" w:afterAutospacing="1"/>
        <w:jc w:val="left"/>
        <w:rPr>
          <w:rFonts w:ascii="宋体" w:hAnsi="宋体" w:eastAsia="宋体" w:cs="宋体"/>
          <w:kern w:val="0"/>
          <w:sz w:val="32"/>
          <w:szCs w:val="32"/>
        </w:rPr>
      </w:pPr>
      <w:r>
        <w:rPr>
          <w:rFonts w:hint="eastAsia" w:ascii="宋体" w:hAnsi="宋体" w:eastAsia="宋体" w:cs="宋体"/>
          <w:kern w:val="0"/>
          <w:sz w:val="32"/>
          <w:szCs w:val="32"/>
        </w:rPr>
        <w:t>四、关于“三公”经费预算情况说明</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32"/>
          <w:szCs w:val="32"/>
        </w:rPr>
        <w:t>五、其他重要事项情况说明</w:t>
      </w:r>
    </w:p>
    <w:p>
      <w:pPr>
        <w:widowControl/>
        <w:spacing w:before="100" w:beforeAutospacing="1" w:after="100" w:afterAutospacing="1"/>
        <w:jc w:val="left"/>
        <w:rPr>
          <w:rFonts w:ascii="仿宋" w:hAnsi="仿宋" w:eastAsia="仿宋" w:cs="宋体"/>
          <w:kern w:val="0"/>
          <w:sz w:val="32"/>
          <w:szCs w:val="32"/>
        </w:rPr>
      </w:pPr>
      <w:r>
        <w:rPr>
          <w:rFonts w:hint="eastAsia" w:ascii="楷体" w:hAnsi="楷体" w:eastAsia="楷体" w:cs="宋体"/>
          <w:b/>
          <w:bCs/>
          <w:kern w:val="0"/>
          <w:sz w:val="32"/>
        </w:rPr>
        <w:t>1、政府债务情况。</w:t>
      </w:r>
    </w:p>
    <w:p>
      <w:pPr>
        <w:widowControl/>
        <w:spacing w:before="100" w:beforeAutospacing="1" w:after="100" w:afterAutospacing="1"/>
        <w:jc w:val="left"/>
        <w:rPr>
          <w:rFonts w:ascii="仿宋" w:hAnsi="仿宋" w:eastAsia="仿宋" w:cs="宋体"/>
          <w:kern w:val="0"/>
          <w:sz w:val="32"/>
          <w:szCs w:val="32"/>
        </w:rPr>
      </w:pPr>
      <w:r>
        <w:rPr>
          <w:rFonts w:hint="eastAsia" w:ascii="楷体" w:hAnsi="楷体" w:eastAsia="楷体" w:cs="宋体"/>
          <w:b/>
          <w:bCs/>
          <w:kern w:val="0"/>
          <w:sz w:val="32"/>
        </w:rPr>
        <w:t>2、政府购买服务支出情况。</w:t>
      </w:r>
    </w:p>
    <w:p>
      <w:pPr>
        <w:widowControl/>
        <w:spacing w:before="100" w:beforeAutospacing="1" w:after="100" w:afterAutospacing="1"/>
        <w:jc w:val="left"/>
        <w:rPr>
          <w:rFonts w:ascii="仿宋" w:hAnsi="仿宋" w:eastAsia="仿宋" w:cs="宋体"/>
          <w:kern w:val="0"/>
          <w:sz w:val="32"/>
          <w:szCs w:val="32"/>
        </w:rPr>
      </w:pPr>
      <w:r>
        <w:rPr>
          <w:rFonts w:hint="eastAsia" w:ascii="楷体" w:hAnsi="楷体" w:eastAsia="楷体" w:cs="宋体"/>
          <w:b/>
          <w:bCs/>
          <w:kern w:val="0"/>
          <w:sz w:val="32"/>
        </w:rPr>
        <w:t>3、国有资产占用使用情况。</w:t>
      </w:r>
    </w:p>
    <w:p>
      <w:pPr>
        <w:widowControl/>
        <w:spacing w:before="100" w:beforeAutospacing="1" w:after="100" w:afterAutospacing="1"/>
        <w:jc w:val="left"/>
        <w:rPr>
          <w:rFonts w:ascii="仿宋" w:hAnsi="仿宋" w:eastAsia="仿宋" w:cs="宋体"/>
          <w:kern w:val="0"/>
          <w:sz w:val="32"/>
          <w:szCs w:val="32"/>
        </w:rPr>
      </w:pPr>
      <w:r>
        <w:rPr>
          <w:rFonts w:hint="eastAsia" w:ascii="楷体" w:hAnsi="楷体" w:eastAsia="楷体" w:cs="宋体"/>
          <w:b/>
          <w:bCs/>
          <w:kern w:val="0"/>
          <w:sz w:val="32"/>
        </w:rPr>
        <w:t>4、预算绩效情况说明。</w:t>
      </w:r>
    </w:p>
    <w:p>
      <w:pPr>
        <w:widowControl/>
        <w:spacing w:before="100" w:beforeAutospacing="1" w:after="100" w:afterAutospacing="1"/>
        <w:jc w:val="left"/>
        <w:rPr>
          <w:rFonts w:ascii="仿宋" w:hAnsi="仿宋" w:eastAsia="仿宋" w:cs="宋体"/>
          <w:kern w:val="0"/>
          <w:sz w:val="32"/>
          <w:szCs w:val="32"/>
        </w:rPr>
      </w:pPr>
      <w:r>
        <w:rPr>
          <w:rFonts w:hint="eastAsia" w:ascii="仿宋" w:hAnsi="仿宋" w:eastAsia="仿宋" w:cs="宋体"/>
          <w:b/>
          <w:kern w:val="0"/>
          <w:sz w:val="32"/>
          <w:szCs w:val="32"/>
        </w:rPr>
        <w:t>5、扶贫资金安排情况。</w:t>
      </w:r>
    </w:p>
    <w:p>
      <w:pPr>
        <w:widowControl/>
        <w:spacing w:before="100" w:beforeAutospacing="1" w:after="100" w:afterAutospacing="1"/>
        <w:jc w:val="left"/>
        <w:rPr>
          <w:rFonts w:ascii="宋体" w:hAnsi="宋体" w:eastAsia="宋体" w:cs="宋体"/>
          <w:kern w:val="0"/>
          <w:sz w:val="24"/>
          <w:szCs w:val="24"/>
        </w:rPr>
      </w:pPr>
      <w:r>
        <w:rPr>
          <w:rFonts w:hint="eastAsia" w:ascii="黑体" w:hAnsi="黑体" w:eastAsia="黑体" w:cs="宋体"/>
          <w:kern w:val="0"/>
          <w:sz w:val="36"/>
          <w:szCs w:val="36"/>
        </w:rPr>
        <w:t>第四部分 名词解释</w:t>
      </w:r>
    </w:p>
    <w:p>
      <w:pPr>
        <w:pStyle w:val="4"/>
        <w:shd w:val="clear" w:color="auto" w:fill="FFFFFF"/>
        <w:spacing w:before="0" w:beforeAutospacing="0" w:after="0" w:afterAutospacing="0"/>
        <w:rPr>
          <w:color w:val="000000"/>
          <w:sz w:val="21"/>
          <w:szCs w:val="21"/>
        </w:rPr>
      </w:pPr>
      <w:r>
        <w:rPr>
          <w:rStyle w:val="7"/>
          <w:rFonts w:hint="eastAsia" w:ascii="仿宋" w:hAnsi="仿宋" w:eastAsia="仿宋"/>
          <w:color w:val="666666"/>
          <w:sz w:val="32"/>
          <w:szCs w:val="32"/>
        </w:rPr>
        <w:t>1.财政拨款收入：</w:t>
      </w:r>
      <w:r>
        <w:rPr>
          <w:rFonts w:hint="eastAsia" w:ascii="仿宋" w:hAnsi="仿宋" w:eastAsia="仿宋"/>
          <w:color w:val="000000"/>
          <w:sz w:val="32"/>
          <w:szCs w:val="32"/>
        </w:rPr>
        <w:t>指市级财政当年拨付的资金。</w:t>
      </w:r>
    </w:p>
    <w:p>
      <w:pPr>
        <w:pStyle w:val="4"/>
        <w:shd w:val="clear" w:color="auto" w:fill="FFFFFF"/>
        <w:spacing w:before="0" w:beforeAutospacing="0" w:after="0" w:afterAutospacing="0"/>
        <w:rPr>
          <w:color w:val="000000"/>
          <w:sz w:val="21"/>
          <w:szCs w:val="21"/>
        </w:rPr>
      </w:pPr>
      <w:r>
        <w:rPr>
          <w:rStyle w:val="7"/>
          <w:rFonts w:hint="eastAsia" w:ascii="仿宋" w:hAnsi="仿宋" w:eastAsia="仿宋"/>
          <w:color w:val="666666"/>
          <w:sz w:val="32"/>
          <w:szCs w:val="32"/>
        </w:rPr>
        <w:t>2.基本支出：</w:t>
      </w:r>
      <w:r>
        <w:rPr>
          <w:rFonts w:hint="eastAsia" w:ascii="仿宋" w:hAnsi="仿宋" w:eastAsia="仿宋"/>
          <w:color w:val="000000"/>
          <w:sz w:val="32"/>
          <w:szCs w:val="32"/>
        </w:rPr>
        <w:t>指保障机构正常运转、完成日常工作任务而发生的人员支出和公用支出。</w:t>
      </w:r>
    </w:p>
    <w:p>
      <w:pPr>
        <w:pStyle w:val="4"/>
        <w:shd w:val="clear" w:color="auto" w:fill="FFFFFF"/>
        <w:spacing w:before="0" w:beforeAutospacing="0" w:after="0" w:afterAutospacing="0"/>
        <w:rPr>
          <w:color w:val="000000"/>
          <w:sz w:val="21"/>
          <w:szCs w:val="21"/>
        </w:rPr>
      </w:pPr>
      <w:r>
        <w:rPr>
          <w:rStyle w:val="7"/>
          <w:rFonts w:hint="eastAsia" w:ascii="仿宋" w:hAnsi="仿宋" w:eastAsia="仿宋"/>
          <w:color w:val="666666"/>
          <w:sz w:val="32"/>
          <w:szCs w:val="32"/>
        </w:rPr>
        <w:t>3.项目支出：</w:t>
      </w:r>
      <w:r>
        <w:rPr>
          <w:rFonts w:hint="eastAsia" w:ascii="仿宋" w:hAnsi="仿宋" w:eastAsia="仿宋"/>
          <w:color w:val="000000"/>
          <w:sz w:val="32"/>
          <w:szCs w:val="32"/>
        </w:rPr>
        <w:t>指在基本支出之外为完成特定行政任务和事业发展目标所发生的支出。</w:t>
      </w:r>
    </w:p>
    <w:p>
      <w:pPr>
        <w:pStyle w:val="4"/>
        <w:shd w:val="clear" w:color="auto" w:fill="FFFFFF"/>
        <w:spacing w:before="0" w:beforeAutospacing="0" w:after="0" w:afterAutospacing="0"/>
        <w:rPr>
          <w:color w:val="000000"/>
          <w:sz w:val="21"/>
          <w:szCs w:val="21"/>
        </w:rPr>
      </w:pPr>
      <w:r>
        <w:rPr>
          <w:rStyle w:val="7"/>
          <w:rFonts w:hint="eastAsia" w:ascii="仿宋" w:hAnsi="仿宋" w:eastAsia="仿宋"/>
          <w:color w:val="666666"/>
          <w:sz w:val="32"/>
          <w:szCs w:val="32"/>
        </w:rPr>
        <w:t>4.行政事业性收费收入：</w:t>
      </w:r>
      <w:r>
        <w:rPr>
          <w:rFonts w:hint="eastAsia" w:ascii="仿宋" w:hAnsi="仿宋" w:eastAsia="仿宋"/>
          <w:color w:val="000000"/>
          <w:sz w:val="32"/>
          <w:szCs w:val="32"/>
        </w:rPr>
        <w:t>指依据法律、行政法规、国务院有关规定、国务院财政单位会同价格主管单位共同发布的规章或者规定，省、自治区、直辖市人民政府财政单位会同价格主管单位共同发布的规定所收取的各项收费收入。</w:t>
      </w:r>
    </w:p>
    <w:p>
      <w:pPr>
        <w:pStyle w:val="4"/>
        <w:shd w:val="clear" w:color="auto" w:fill="FFFFFF"/>
        <w:spacing w:before="0" w:beforeAutospacing="0" w:after="0" w:afterAutospacing="0"/>
        <w:rPr>
          <w:color w:val="000000"/>
          <w:sz w:val="21"/>
          <w:szCs w:val="21"/>
        </w:rPr>
      </w:pPr>
      <w:r>
        <w:rPr>
          <w:rStyle w:val="7"/>
          <w:rFonts w:hint="eastAsia" w:ascii="仿宋" w:hAnsi="仿宋" w:eastAsia="仿宋"/>
          <w:color w:val="666666"/>
          <w:sz w:val="32"/>
          <w:szCs w:val="32"/>
        </w:rPr>
        <w:t>5.政府性基金收入：</w:t>
      </w:r>
      <w:r>
        <w:rPr>
          <w:rFonts w:hint="eastAsia" w:ascii="仿宋" w:hAnsi="仿宋" w:eastAsia="仿宋"/>
          <w:color w:val="000000"/>
          <w:sz w:val="32"/>
          <w:szCs w:val="32"/>
        </w:rPr>
        <w:t>反应各级政府及其所属单位根据法律、行政法规规定并经国务院或财政部批准，向公民、法人和其他组织征收的政府性基金，以及参照政府性基金管理或纳入基金预算、具有特定用途的财政资金。</w:t>
      </w:r>
    </w:p>
    <w:p>
      <w:pPr>
        <w:pStyle w:val="4"/>
        <w:shd w:val="clear" w:color="auto" w:fill="FFFFFF"/>
        <w:spacing w:before="0" w:beforeAutospacing="0" w:after="0" w:afterAutospacing="0"/>
        <w:rPr>
          <w:color w:val="000000"/>
          <w:sz w:val="21"/>
          <w:szCs w:val="21"/>
        </w:rPr>
      </w:pPr>
      <w:r>
        <w:rPr>
          <w:rStyle w:val="7"/>
          <w:rFonts w:hint="eastAsia" w:ascii="仿宋" w:hAnsi="仿宋" w:eastAsia="仿宋"/>
          <w:color w:val="666666"/>
          <w:sz w:val="32"/>
          <w:szCs w:val="32"/>
        </w:rPr>
        <w:t>6.“三公”经费：</w:t>
      </w:r>
      <w:r>
        <w:rPr>
          <w:rFonts w:hint="eastAsia" w:ascii="仿宋" w:hAnsi="仿宋" w:eastAsia="仿宋"/>
          <w:color w:val="000000"/>
          <w:sz w:val="32"/>
          <w:szCs w:val="32"/>
        </w:rPr>
        <w:t>指用财政拨款安排的因公出国（境）费、公务用车购置及运行费和公务接待费。其中，因公出国（境）费反应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4"/>
        <w:shd w:val="clear" w:color="auto" w:fill="FFFFFF"/>
        <w:spacing w:before="0" w:beforeAutospacing="0" w:after="0" w:afterAutospacing="0"/>
        <w:rPr>
          <w:color w:val="000000"/>
          <w:sz w:val="21"/>
          <w:szCs w:val="21"/>
        </w:rPr>
      </w:pPr>
      <w:r>
        <w:rPr>
          <w:rStyle w:val="7"/>
          <w:rFonts w:hint="eastAsia" w:ascii="仿宋" w:hAnsi="仿宋" w:eastAsia="仿宋"/>
          <w:color w:val="666666"/>
          <w:sz w:val="32"/>
          <w:szCs w:val="32"/>
        </w:rPr>
        <w:t>7.一般公共服务（类）财政事务（款）行政运行（项）：</w:t>
      </w:r>
      <w:r>
        <w:rPr>
          <w:rFonts w:hint="eastAsia" w:ascii="仿宋" w:hAnsi="仿宋" w:eastAsia="仿宋"/>
          <w:color w:val="000000"/>
          <w:sz w:val="32"/>
          <w:szCs w:val="32"/>
        </w:rPr>
        <w:t>反映行政单位（包括实行公务员管理的事业单位）的基本支出。</w:t>
      </w:r>
    </w:p>
    <w:p>
      <w:pPr>
        <w:pStyle w:val="4"/>
        <w:shd w:val="clear" w:color="auto" w:fill="FFFFFF"/>
        <w:spacing w:before="0" w:beforeAutospacing="0" w:after="0" w:afterAutospacing="0"/>
        <w:rPr>
          <w:color w:val="000000"/>
          <w:sz w:val="21"/>
          <w:szCs w:val="21"/>
        </w:rPr>
      </w:pPr>
      <w:r>
        <w:rPr>
          <w:rStyle w:val="7"/>
          <w:rFonts w:hint="eastAsia" w:ascii="仿宋" w:hAnsi="仿宋" w:eastAsia="仿宋"/>
          <w:color w:val="666666"/>
          <w:sz w:val="32"/>
          <w:szCs w:val="32"/>
        </w:rPr>
        <w:t>8.一般公共服务（类）财政事务（款）一般行政管理事务（项）：</w:t>
      </w:r>
      <w:r>
        <w:rPr>
          <w:rFonts w:hint="eastAsia" w:ascii="仿宋" w:hAnsi="仿宋" w:eastAsia="仿宋"/>
          <w:color w:val="000000"/>
          <w:sz w:val="32"/>
          <w:szCs w:val="32"/>
        </w:rPr>
        <w:t>反映行政单位（包括实行公务员管理的事业单位）未单独设置项级科目的其他项目支出。</w:t>
      </w:r>
    </w:p>
    <w:p>
      <w:pPr>
        <w:pStyle w:val="4"/>
        <w:shd w:val="clear" w:color="auto" w:fill="FFFFFF"/>
        <w:spacing w:before="0" w:beforeAutospacing="0" w:after="0" w:afterAutospacing="0"/>
        <w:rPr>
          <w:color w:val="000000"/>
          <w:sz w:val="21"/>
          <w:szCs w:val="21"/>
        </w:rPr>
      </w:pPr>
      <w:r>
        <w:rPr>
          <w:rStyle w:val="7"/>
          <w:rFonts w:hint="eastAsia" w:ascii="仿宋" w:hAnsi="仿宋" w:eastAsia="仿宋"/>
          <w:color w:val="666666"/>
          <w:sz w:val="32"/>
          <w:szCs w:val="32"/>
        </w:rPr>
        <w:t>9.一般公共服务（类）财政事务（款）预算改革业务（项）：</w:t>
      </w:r>
      <w:r>
        <w:rPr>
          <w:rFonts w:hint="eastAsia" w:ascii="仿宋" w:hAnsi="仿宋" w:eastAsia="仿宋"/>
          <w:color w:val="000000"/>
          <w:sz w:val="32"/>
          <w:szCs w:val="32"/>
        </w:rPr>
        <w:t>反映财政单位用于预算改革方面的支出。</w:t>
      </w:r>
    </w:p>
    <w:p>
      <w:pPr>
        <w:pStyle w:val="4"/>
        <w:shd w:val="clear" w:color="auto" w:fill="FFFFFF"/>
        <w:spacing w:before="0" w:beforeAutospacing="0" w:after="0" w:afterAutospacing="0"/>
        <w:rPr>
          <w:color w:val="000000"/>
          <w:sz w:val="21"/>
          <w:szCs w:val="21"/>
        </w:rPr>
      </w:pPr>
      <w:r>
        <w:rPr>
          <w:rStyle w:val="7"/>
          <w:rFonts w:hint="eastAsia" w:ascii="仿宋" w:hAnsi="仿宋" w:eastAsia="仿宋"/>
          <w:color w:val="666666"/>
          <w:sz w:val="32"/>
          <w:szCs w:val="32"/>
        </w:rPr>
        <w:t>10.一般公共服务（类）财政事务（款）财政国库业务（项）：</w:t>
      </w:r>
      <w:r>
        <w:rPr>
          <w:rFonts w:hint="eastAsia" w:ascii="仿宋" w:hAnsi="仿宋" w:eastAsia="仿宋"/>
          <w:color w:val="000000"/>
          <w:sz w:val="32"/>
          <w:szCs w:val="32"/>
        </w:rPr>
        <w:t>反映财政单位用于财政国库集中收付业务方面的支出。</w:t>
      </w:r>
    </w:p>
    <w:p>
      <w:pPr>
        <w:pStyle w:val="4"/>
        <w:shd w:val="clear" w:color="auto" w:fill="FFFFFF"/>
        <w:spacing w:before="0" w:beforeAutospacing="0" w:after="0" w:afterAutospacing="0"/>
        <w:rPr>
          <w:color w:val="000000"/>
          <w:sz w:val="21"/>
          <w:szCs w:val="21"/>
        </w:rPr>
      </w:pPr>
      <w:r>
        <w:rPr>
          <w:rStyle w:val="7"/>
          <w:rFonts w:hint="eastAsia" w:ascii="仿宋" w:hAnsi="仿宋" w:eastAsia="仿宋"/>
          <w:color w:val="666666"/>
          <w:sz w:val="32"/>
          <w:szCs w:val="32"/>
        </w:rPr>
        <w:t>11.一般公共服务（类）财政事务（款）事业运行（项）：</w:t>
      </w:r>
      <w:r>
        <w:rPr>
          <w:rFonts w:hint="eastAsia" w:ascii="仿宋" w:hAnsi="仿宋" w:eastAsia="仿宋"/>
          <w:color w:val="000000"/>
          <w:sz w:val="32"/>
          <w:szCs w:val="32"/>
        </w:rPr>
        <w:t>反映事业单位的基本支出，不包括行政单位（包括实行公务员管理的事业单位）后勤服务中心、医务室等附属事业单位。</w:t>
      </w:r>
    </w:p>
    <w:p>
      <w:pPr>
        <w:pStyle w:val="4"/>
        <w:shd w:val="clear" w:color="auto" w:fill="FFFFFF"/>
        <w:spacing w:before="0" w:beforeAutospacing="0" w:after="0" w:afterAutospacing="0"/>
        <w:rPr>
          <w:color w:val="000000"/>
          <w:sz w:val="21"/>
          <w:szCs w:val="21"/>
        </w:rPr>
      </w:pPr>
      <w:r>
        <w:rPr>
          <w:rStyle w:val="7"/>
          <w:rFonts w:hint="eastAsia" w:ascii="仿宋" w:hAnsi="仿宋" w:eastAsia="仿宋"/>
          <w:color w:val="666666"/>
          <w:sz w:val="32"/>
          <w:szCs w:val="32"/>
        </w:rPr>
        <w:t>12.一般公共服务（类）财政事务（款）其他财政事务支出（项）：</w:t>
      </w:r>
      <w:r>
        <w:rPr>
          <w:rFonts w:hint="eastAsia" w:ascii="仿宋" w:hAnsi="仿宋" w:eastAsia="仿宋"/>
          <w:color w:val="000000"/>
          <w:sz w:val="32"/>
          <w:szCs w:val="32"/>
        </w:rPr>
        <w:t>反映除上述项目以外其他财政事务方面的支出。</w:t>
      </w:r>
    </w:p>
    <w:p>
      <w:pPr>
        <w:pStyle w:val="4"/>
        <w:shd w:val="clear" w:color="auto" w:fill="FFFFFF"/>
        <w:spacing w:before="0" w:beforeAutospacing="0" w:after="0" w:afterAutospacing="0"/>
        <w:rPr>
          <w:color w:val="000000"/>
          <w:sz w:val="21"/>
          <w:szCs w:val="21"/>
        </w:rPr>
      </w:pPr>
      <w:r>
        <w:rPr>
          <w:rStyle w:val="7"/>
          <w:rFonts w:hint="eastAsia" w:ascii="仿宋" w:hAnsi="仿宋" w:eastAsia="仿宋"/>
          <w:color w:val="666666"/>
          <w:sz w:val="32"/>
          <w:szCs w:val="32"/>
        </w:rPr>
        <w:t>13.社会保障和就业（类）行政事业单位离退休（款）归口管理的行政单位离退休（项）：</w:t>
      </w:r>
      <w:r>
        <w:rPr>
          <w:rFonts w:hint="eastAsia" w:ascii="仿宋" w:hAnsi="仿宋" w:eastAsia="仿宋"/>
          <w:color w:val="000000"/>
          <w:sz w:val="32"/>
          <w:szCs w:val="32"/>
        </w:rPr>
        <w:t>反映实行归口管理的行政单位（包括实行公务员管理的事业单位）开支的离退休经费。</w:t>
      </w:r>
    </w:p>
    <w:p>
      <w:pPr>
        <w:pStyle w:val="4"/>
        <w:shd w:val="clear" w:color="auto" w:fill="FFFFFF"/>
        <w:spacing w:before="0" w:beforeAutospacing="0" w:after="0" w:afterAutospacing="0"/>
        <w:rPr>
          <w:color w:val="000000"/>
          <w:sz w:val="21"/>
          <w:szCs w:val="21"/>
        </w:rPr>
      </w:pPr>
      <w:r>
        <w:rPr>
          <w:rStyle w:val="7"/>
          <w:rFonts w:hint="eastAsia" w:ascii="仿宋" w:hAnsi="仿宋" w:eastAsia="仿宋"/>
          <w:color w:val="666666"/>
          <w:sz w:val="32"/>
          <w:szCs w:val="32"/>
        </w:rPr>
        <w:t>14.社会保障和就业（类）行政事业单位离退休（款）事业单位离退休（项）：</w:t>
      </w:r>
      <w:r>
        <w:rPr>
          <w:rFonts w:hint="eastAsia" w:ascii="仿宋" w:hAnsi="仿宋" w:eastAsia="仿宋"/>
          <w:color w:val="000000"/>
          <w:sz w:val="32"/>
          <w:szCs w:val="32"/>
        </w:rPr>
        <w:t>反映实行归口管理的事业单位开支的离退休经费。</w:t>
      </w:r>
    </w:p>
    <w:p>
      <w:pPr>
        <w:pStyle w:val="4"/>
        <w:shd w:val="clear" w:color="auto" w:fill="FFFFFF"/>
        <w:spacing w:before="0" w:beforeAutospacing="0" w:after="0" w:afterAutospacing="0"/>
        <w:rPr>
          <w:color w:val="000000"/>
          <w:sz w:val="21"/>
          <w:szCs w:val="21"/>
        </w:rPr>
      </w:pPr>
      <w:r>
        <w:rPr>
          <w:rStyle w:val="7"/>
          <w:rFonts w:hint="eastAsia" w:ascii="仿宋" w:hAnsi="仿宋" w:eastAsia="仿宋"/>
          <w:color w:val="666666"/>
          <w:sz w:val="32"/>
          <w:szCs w:val="32"/>
        </w:rPr>
        <w:t>15.医疗卫生与计划生育（类）医疗保障（款）行政单位医疗（项）：</w:t>
      </w:r>
      <w:r>
        <w:rPr>
          <w:rFonts w:hint="eastAsia" w:ascii="仿宋" w:hAnsi="仿宋" w:eastAsia="仿宋"/>
          <w:color w:val="000000"/>
          <w:sz w:val="32"/>
          <w:szCs w:val="32"/>
        </w:rPr>
        <w:t>反映财政单位集中安排的行政单位基本医疗保险缴费经费，未参加医疗保险的行政单位的公费医疗经费，按国家规定享受离休人员、红军老战士待遇人员的医疗经费。</w:t>
      </w:r>
    </w:p>
    <w:p>
      <w:pPr>
        <w:pStyle w:val="4"/>
        <w:shd w:val="clear" w:color="auto" w:fill="FFFFFF"/>
        <w:spacing w:before="0" w:beforeAutospacing="0" w:after="0" w:afterAutospacing="0"/>
        <w:rPr>
          <w:color w:val="000000"/>
          <w:sz w:val="21"/>
          <w:szCs w:val="21"/>
        </w:rPr>
      </w:pPr>
      <w:r>
        <w:rPr>
          <w:rStyle w:val="7"/>
          <w:rFonts w:hint="eastAsia" w:ascii="仿宋" w:hAnsi="仿宋" w:eastAsia="仿宋"/>
          <w:color w:val="666666"/>
          <w:sz w:val="32"/>
          <w:szCs w:val="32"/>
        </w:rPr>
        <w:t>16.医疗卫生与计划生育（类）医疗保障（款）事业单位医疗（项）：</w:t>
      </w:r>
      <w:r>
        <w:rPr>
          <w:rFonts w:hint="eastAsia" w:ascii="仿宋" w:hAnsi="仿宋" w:eastAsia="仿宋"/>
          <w:color w:val="000000"/>
          <w:sz w:val="32"/>
          <w:szCs w:val="32"/>
        </w:rPr>
        <w:t>反映财政单位集中安排的事业单位基本医疗保险缴费经费，未参加医疗保险的事业单位的公费医疗经费，按国家规定享受离休人员待遇人员的医疗经费。</w:t>
      </w:r>
    </w:p>
    <w:p>
      <w:pPr>
        <w:pStyle w:val="4"/>
        <w:shd w:val="clear" w:color="auto" w:fill="FFFFFF"/>
        <w:spacing w:before="0" w:beforeAutospacing="0" w:after="0" w:afterAutospacing="0"/>
        <w:rPr>
          <w:color w:val="000000"/>
          <w:sz w:val="21"/>
          <w:szCs w:val="21"/>
        </w:rPr>
      </w:pPr>
      <w:r>
        <w:rPr>
          <w:rStyle w:val="7"/>
          <w:rFonts w:hint="eastAsia" w:ascii="仿宋" w:hAnsi="仿宋" w:eastAsia="仿宋"/>
          <w:color w:val="666666"/>
          <w:sz w:val="32"/>
          <w:szCs w:val="32"/>
        </w:rPr>
        <w:t>17.住房保障（类）住房改革（款）住房公积金（项）：</w:t>
      </w:r>
      <w:r>
        <w:rPr>
          <w:rFonts w:hint="eastAsia" w:ascii="仿宋" w:hAnsi="仿宋" w:eastAsia="仿宋"/>
          <w:color w:val="000000"/>
          <w:sz w:val="32"/>
          <w:szCs w:val="32"/>
        </w:rPr>
        <w:t>反映行政事业单位按人力资源和社会保障部、财政部规定的基本工资和津贴补贴以及规定比例为职工缴纳的住房公积金。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altName w:val="微软雅黑"/>
    <w:panose1 w:val="020106010300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A80077"/>
    <w:multiLevelType w:val="multilevel"/>
    <w:tmpl w:val="5FA80077"/>
    <w:lvl w:ilvl="0" w:tentative="0">
      <w:start w:val="1"/>
      <w:numFmt w:val="japaneseCounting"/>
      <w:lvlText w:val="%1、"/>
      <w:lvlJc w:val="left"/>
      <w:pPr>
        <w:ind w:left="660" w:hanging="660"/>
      </w:pPr>
      <w:rPr>
        <w:rFonts w:hint="default" w:ascii="黑体" w:hAnsi="黑体" w:eastAsia="黑体"/>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B30C8"/>
    <w:rsid w:val="00080600"/>
    <w:rsid w:val="00083894"/>
    <w:rsid w:val="000B4C7D"/>
    <w:rsid w:val="000C483D"/>
    <w:rsid w:val="000E05FF"/>
    <w:rsid w:val="000E0B7E"/>
    <w:rsid w:val="00103597"/>
    <w:rsid w:val="00124F81"/>
    <w:rsid w:val="001F44F9"/>
    <w:rsid w:val="00200225"/>
    <w:rsid w:val="00203BCA"/>
    <w:rsid w:val="0022195B"/>
    <w:rsid w:val="00222BD3"/>
    <w:rsid w:val="00242B6F"/>
    <w:rsid w:val="002479D5"/>
    <w:rsid w:val="00255C6A"/>
    <w:rsid w:val="002630FD"/>
    <w:rsid w:val="002C5568"/>
    <w:rsid w:val="002D247C"/>
    <w:rsid w:val="002D613F"/>
    <w:rsid w:val="00311928"/>
    <w:rsid w:val="00320E83"/>
    <w:rsid w:val="00374D7F"/>
    <w:rsid w:val="0042640D"/>
    <w:rsid w:val="004618F8"/>
    <w:rsid w:val="00465BF9"/>
    <w:rsid w:val="004810B6"/>
    <w:rsid w:val="0049361C"/>
    <w:rsid w:val="0049784B"/>
    <w:rsid w:val="004A5E03"/>
    <w:rsid w:val="004F5CA9"/>
    <w:rsid w:val="0050509F"/>
    <w:rsid w:val="00543916"/>
    <w:rsid w:val="00564554"/>
    <w:rsid w:val="0059343C"/>
    <w:rsid w:val="005B1F76"/>
    <w:rsid w:val="005B6526"/>
    <w:rsid w:val="005E007A"/>
    <w:rsid w:val="006222B5"/>
    <w:rsid w:val="006301B3"/>
    <w:rsid w:val="006445CE"/>
    <w:rsid w:val="006519BE"/>
    <w:rsid w:val="00663266"/>
    <w:rsid w:val="00682881"/>
    <w:rsid w:val="006A558A"/>
    <w:rsid w:val="006D3B74"/>
    <w:rsid w:val="00704EC6"/>
    <w:rsid w:val="00745A11"/>
    <w:rsid w:val="00775340"/>
    <w:rsid w:val="00782E81"/>
    <w:rsid w:val="008455D1"/>
    <w:rsid w:val="0087007D"/>
    <w:rsid w:val="008726B1"/>
    <w:rsid w:val="008A2FCF"/>
    <w:rsid w:val="008E5F6E"/>
    <w:rsid w:val="008F23CB"/>
    <w:rsid w:val="00902FC2"/>
    <w:rsid w:val="009053CF"/>
    <w:rsid w:val="0093690D"/>
    <w:rsid w:val="00993F2D"/>
    <w:rsid w:val="00997B59"/>
    <w:rsid w:val="009E1D42"/>
    <w:rsid w:val="00A23A5F"/>
    <w:rsid w:val="00A34D8B"/>
    <w:rsid w:val="00A65A42"/>
    <w:rsid w:val="00A72C4E"/>
    <w:rsid w:val="00AE066F"/>
    <w:rsid w:val="00B343B6"/>
    <w:rsid w:val="00B90452"/>
    <w:rsid w:val="00BB0661"/>
    <w:rsid w:val="00BB1A94"/>
    <w:rsid w:val="00BC0FDD"/>
    <w:rsid w:val="00BC77CD"/>
    <w:rsid w:val="00C15E9B"/>
    <w:rsid w:val="00C314E0"/>
    <w:rsid w:val="00C816AE"/>
    <w:rsid w:val="00D346FC"/>
    <w:rsid w:val="00D55BA4"/>
    <w:rsid w:val="00D57F2C"/>
    <w:rsid w:val="00DE7369"/>
    <w:rsid w:val="00DF0B06"/>
    <w:rsid w:val="00E56230"/>
    <w:rsid w:val="00E937F7"/>
    <w:rsid w:val="00EB30C8"/>
    <w:rsid w:val="00F04002"/>
    <w:rsid w:val="00F06476"/>
    <w:rsid w:val="00F356C4"/>
    <w:rsid w:val="00FA5A23"/>
    <w:rsid w:val="00FC4514"/>
    <w:rsid w:val="13DA623E"/>
    <w:rsid w:val="3869219C"/>
    <w:rsid w:val="3EB94B1E"/>
    <w:rsid w:val="446F74BA"/>
    <w:rsid w:val="4A4F72D4"/>
    <w:rsid w:val="52C92A66"/>
    <w:rsid w:val="6E511D91"/>
    <w:rsid w:val="6E712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uiPriority w:val="99"/>
    <w:rPr>
      <w:sz w:val="18"/>
      <w:szCs w:val="18"/>
    </w:rPr>
  </w:style>
  <w:style w:type="paragraph" w:styleId="10">
    <w:name w:val="List Paragraph"/>
    <w:basedOn w:val="1"/>
    <w:qFormat/>
    <w:uiPriority w:val="34"/>
    <w:pPr>
      <w:ind w:firstLine="420" w:firstLineChars="200"/>
    </w:pPr>
  </w:style>
  <w:style w:type="paragraph" w:styleId="1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351</Words>
  <Characters>2004</Characters>
  <Lines>16</Lines>
  <Paragraphs>4</Paragraphs>
  <TotalTime>3</TotalTime>
  <ScaleCrop>false</ScaleCrop>
  <LinksUpToDate>false</LinksUpToDate>
  <CharactersWithSpaces>2351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2020-01-12T08:37:00Z</dcterms:created>
  <dc:creator>微软用户</dc:creator>
  <cp:lastModifiedBy>Administrator</cp:lastModifiedBy>
  <cp:lastPrinted>2020-01-13T00:49:00Z</cp:lastPrinted>
  <dcterms:modified xsi:type="dcterms:W3CDTF">2022-01-13T01:51:35Z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CE628A1F816D4B82B8F1DD2003410855</vt:lpwstr>
  </property>
</Properties>
</file>